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firstLine="0"/>
        <w:jc w:val="center"/>
        <w:rPr>
          <w:rFonts w:ascii="宋体" w:hAnsi="宋体"/>
          <w:b/>
          <w:kern w:val="2"/>
          <w:sz w:val="32"/>
          <w:szCs w:val="32"/>
        </w:rPr>
      </w:pPr>
      <w:r>
        <w:rPr>
          <w:rFonts w:hint="eastAsia" w:ascii="宋体" w:hAnsi="宋体"/>
          <w:b/>
          <w:kern w:val="2"/>
          <w:sz w:val="32"/>
          <w:szCs w:val="32"/>
        </w:rPr>
        <w:t>江苏省扬州技师学院智慧校园建设方案征集专家评分标准</w:t>
      </w:r>
    </w:p>
    <w:p>
      <w:pPr>
        <w:pStyle w:val="6"/>
        <w:spacing w:line="560" w:lineRule="exact"/>
        <w:ind w:firstLine="0"/>
        <w:jc w:val="center"/>
        <w:rPr>
          <w:rFonts w:ascii="方正楷体_GBK" w:hAnsi="宋体" w:eastAsia="方正楷体_GBK"/>
          <w:b/>
          <w:kern w:val="2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 目</w:t>
            </w: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总体合理性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能合理将互联网、大数据、云计算、物联网、人工智能、5G、VR/AR、区块链等技术融合于方案中，兼具先进性、实用性，并易于实施。优秀方案最高得5分，其余酌情得0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分（每档差0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专业性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能对学院的教学、科研、管理、交流合作、服务以及评价等方面产生积极的赋能作用。优秀方案最高得4分，其余酌情得0-3.5分（每档差0.5分）；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预算控制（第一部分）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adjustRightInd w:val="0"/>
              <w:spacing w:line="400" w:lineRule="exact"/>
              <w:ind w:left="63" w:leftChars="30" w:right="63" w:rightChars="30"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智慧职业教育与管理（含后勤）部分预算控制在5000万元得5分，每高（或低）100万元（不足部分不算）减1分，正负相差500万元或以上得0分；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智慧职业教育与管理（含后勤）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涉及支撑条件、教育教学、管理服务、平安校园、网络安全等软硬件设施共51项，每项的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分项建设方案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绩效分析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分项投资估算表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（可以是总表形式）齐全的：校园弱电系统、校园网络、物联网传感网络、数据中心机房、云计算系统每项，缺一个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分、缺两个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扣2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分；其余各项缺一个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0.5分、缺两个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扣1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分，总分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扣完为止不倒扣。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公共实训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基地及信息化与专业化融合发展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共包含10项校园应用，每项应用能运用①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5G及下一代互联网技术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、按②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智慧城市典型场景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打造、并能用于③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生产性实训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与专业化融合发展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分，①和②缺一个得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分、缺两个得0分，只要缺③项即未表述实训应用的得0分，共计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智慧产教融合与社会服务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引入国内知名企业校企合作：在①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智能制造领域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汽车后服务领域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、③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ICT现代服务领域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引入一家知名企业（截至2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年底世界5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强）得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分，①、②、③项分别计分最高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分，共计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校企合作机制：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从ICT+专业方案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校企专业共建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产教融合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人才双向互动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三个维度考量，每个维度方案酌情得0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分，共计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综合数据平台：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从管理系统覆盖相关工作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数据分析模型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面向对象提供服务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决策支持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四个维度考量，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前两个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维度方案酌情得0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后两个维度酌情得0-2分，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共计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0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9" w:type="pct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服务社会：方案具有直接服务社会的职能的，实现环境保护、社区服务等多种形式的最高得3分。</w:t>
            </w:r>
          </w:p>
        </w:tc>
      </w:tr>
    </w:tbl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98"/>
    <w:rsid w:val="00065ABD"/>
    <w:rsid w:val="00150E99"/>
    <w:rsid w:val="00184894"/>
    <w:rsid w:val="00536A98"/>
    <w:rsid w:val="005C234B"/>
    <w:rsid w:val="00656FD5"/>
    <w:rsid w:val="006D2C04"/>
    <w:rsid w:val="00900AA8"/>
    <w:rsid w:val="00967AAD"/>
    <w:rsid w:val="009C5960"/>
    <w:rsid w:val="00A10B12"/>
    <w:rsid w:val="00A8113B"/>
    <w:rsid w:val="00B8263A"/>
    <w:rsid w:val="00C333D8"/>
    <w:rsid w:val="00C93C40"/>
    <w:rsid w:val="00D50143"/>
    <w:rsid w:val="00E642BE"/>
    <w:rsid w:val="00F2165F"/>
    <w:rsid w:val="00F9183E"/>
    <w:rsid w:val="00FC4EB5"/>
    <w:rsid w:val="2B1943D2"/>
    <w:rsid w:val="3B8A03FC"/>
    <w:rsid w:val="4F937E98"/>
    <w:rsid w:val="705A6CE7"/>
    <w:rsid w:val="787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712</Characters>
  <Lines>5</Lines>
  <Paragraphs>1</Paragraphs>
  <TotalTime>55</TotalTime>
  <ScaleCrop>false</ScaleCrop>
  <LinksUpToDate>false</LinksUpToDate>
  <CharactersWithSpaces>835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2020-08-13T07:48:00Z</dcterms:created>
  <dc:creator>Administrator</dc:creator>
  <cp:lastModifiedBy>茶阳</cp:lastModifiedBy>
  <dcterms:modified xsi:type="dcterms:W3CDTF">2020-08-15T11:36:43Z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