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70" w:rsidRPr="00D14ABC" w:rsidRDefault="00BA0241" w:rsidP="00D14ABC">
      <w:pPr>
        <w:widowControl/>
        <w:shd w:val="clear" w:color="auto" w:fill="FFFFFF"/>
        <w:spacing w:after="120" w:line="480" w:lineRule="atLeast"/>
        <w:jc w:val="center"/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</w:pPr>
      <w:r w:rsidRPr="00D14AB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家具制作专业VR配套资源采购</w:t>
      </w:r>
      <w:bookmarkStart w:id="0" w:name="_GoBack"/>
      <w:r w:rsidR="00D14ABC" w:rsidRPr="00D14AB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项目</w:t>
      </w:r>
      <w:bookmarkEnd w:id="0"/>
    </w:p>
    <w:p w:rsidR="00C2101E" w:rsidRPr="00D01518" w:rsidRDefault="00C2101E" w:rsidP="00C2101E">
      <w:pPr>
        <w:widowControl/>
        <w:shd w:val="clear" w:color="auto" w:fill="FFFFFF"/>
        <w:spacing w:after="120" w:line="480" w:lineRule="atLeast"/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</w:pPr>
      <w:r w:rsidRPr="00D01518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一、项目清单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06"/>
        <w:gridCol w:w="3086"/>
        <w:gridCol w:w="1066"/>
        <w:gridCol w:w="2336"/>
      </w:tblGrid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建模与贴图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建筑、房间以及内饰模型制作，房间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建模与贴图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展品模型制作，墙面展品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&gt;100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个，展台展品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建模与贴图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工位与相关机械模型制作，工位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建模与贴图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房间地面作品模型制作，作品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建模与贴图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指定拆装柜子所有零部件模型制作，柜子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x1+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斗拱</w:t>
            </w:r>
            <w:r w:rsidRPr="00F76650"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  <w:t>x1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+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鲁班锁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x1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整合模块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场景与模型优化、整合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整合模块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场景灯光与阴影设计与后处理，并且完成烘焙渲染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整合模块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漫游实现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硬件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HTC Cosmos VR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头显</w:t>
            </w:r>
            <w:proofErr w:type="gram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学员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所有展品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全角度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观察，墙面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+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展台，学员松开展品后，展品自动归位，保持原状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学员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工位机械仿真操作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lastRenderedPageBreak/>
              <w:t>学员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一个柜子</w:t>
            </w:r>
            <w:r w:rsidRPr="00F76650"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  <w:t>+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一个斗拱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+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一个鲁班锁，无限次无限制自由拆装，组装过程提供下一步模型组件高亮指引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F76650" w:rsidRPr="00F76650" w:rsidTr="00F7665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学员</w:t>
            </w: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VR</w:t>
            </w: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墙面有太师椅，可向学员展示完整拼装、拆卸过程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0" w:rsidRPr="00F76650" w:rsidRDefault="00F76650" w:rsidP="00F7665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家具制作教学及省状元</w:t>
            </w:r>
            <w:proofErr w:type="gramStart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赛配套</w:t>
            </w:r>
            <w:proofErr w:type="gramEnd"/>
            <w:r w:rsidRPr="00F76650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</w:tr>
    </w:tbl>
    <w:p w:rsidR="00C2101E" w:rsidRPr="00F76650" w:rsidRDefault="00C2101E" w:rsidP="00C2101E">
      <w:pPr>
        <w:widowControl/>
        <w:shd w:val="clear" w:color="auto" w:fill="FFFFFF"/>
        <w:spacing w:after="120" w:line="480" w:lineRule="atLeast"/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</w:pPr>
    </w:p>
    <w:p w:rsidR="00D14ABC" w:rsidRPr="00D01518" w:rsidRDefault="00C2101E" w:rsidP="00C2101E">
      <w:pPr>
        <w:widowControl/>
        <w:shd w:val="clear" w:color="auto" w:fill="FFFFFF"/>
        <w:spacing w:after="120" w:line="480" w:lineRule="atLeast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D01518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二、</w:t>
      </w:r>
      <w:r w:rsidR="00D14ABC" w:rsidRPr="00D01518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技术要求</w:t>
      </w:r>
    </w:p>
    <w:p w:rsidR="00BA0241" w:rsidRPr="00C2101E" w:rsidRDefault="00C2101E" w:rsidP="00C2101E">
      <w:pPr>
        <w:widowControl/>
        <w:shd w:val="clear" w:color="auto" w:fill="FFFFFF"/>
        <w:spacing w:after="120" w:line="480" w:lineRule="atLeas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C2101E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1、</w:t>
      </w:r>
      <w:r w:rsidR="00BA0241" w:rsidRPr="00C2101E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硬件</w:t>
      </w:r>
    </w:p>
    <w:tbl>
      <w:tblPr>
        <w:tblW w:w="87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2163"/>
        <w:gridCol w:w="1367"/>
        <w:gridCol w:w="1505"/>
        <w:gridCol w:w="68"/>
        <w:gridCol w:w="1993"/>
      </w:tblGrid>
      <w:tr w:rsidR="00C2101E" w:rsidTr="0078137D">
        <w:trPr>
          <w:trHeight w:val="60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C2101E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设备名称</w:t>
            </w:r>
          </w:p>
        </w:tc>
        <w:tc>
          <w:tcPr>
            <w:tcW w:w="503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C2101E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建议品牌</w:t>
            </w:r>
          </w:p>
        </w:tc>
      </w:tr>
      <w:tr w:rsidR="00273370" w:rsidTr="00C2101E">
        <w:trPr>
          <w:trHeight w:val="63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Default="00C210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虚拟现实头盔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见技术参数</w:t>
            </w:r>
          </w:p>
        </w:tc>
        <w:tc>
          <w:tcPr>
            <w:tcW w:w="13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HTC Cosmos</w:t>
            </w:r>
          </w:p>
        </w:tc>
      </w:tr>
      <w:tr w:rsidR="00273370" w:rsidTr="00C2101E">
        <w:trPr>
          <w:trHeight w:val="285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显示部分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种类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pixel-packed显示屏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分辨率：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2880*1700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最大视场角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最大110度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刷新率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90Hz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调节功能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可调整镜头距离（适配佩戴眼镜用户）</w:t>
            </w:r>
          </w:p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可调整瞳距</w:t>
            </w:r>
          </w:p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可调式耳机</w:t>
            </w:r>
          </w:p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可调式头带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适配主机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Intel Core i5-4590，AMD FX? 8350同等或更高配置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NVIDIA GeForce GTX 1060，AMD Radeon RX 480同等或更高配置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517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兼容系统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移动/PC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688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内置接口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USB3.0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631"/>
        </w:trPr>
        <w:tc>
          <w:tcPr>
            <w:tcW w:w="1665" w:type="dxa"/>
            <w:vMerge/>
            <w:shd w:val="clear" w:color="auto" w:fill="FFFFFF"/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Displayport1.2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624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外形设计</w:t>
            </w:r>
          </w:p>
        </w:tc>
        <w:tc>
          <w:tcPr>
            <w:tcW w:w="709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翻盖式面罩，可调整瞳距，可调式头带</w:t>
            </w:r>
          </w:p>
        </w:tc>
      </w:tr>
      <w:tr w:rsidR="00273370" w:rsidTr="00C2101E">
        <w:trPr>
          <w:trHeight w:val="601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外形尺寸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W199*H145*D275mm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537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产品重量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651g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587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其他参数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vivie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追踪技术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机身材质分类：塑料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285"/>
        </w:trPr>
        <w:tc>
          <w:tcPr>
            <w:tcW w:w="1665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屏幕材质：Real RGB LCD</w:t>
            </w:r>
          </w:p>
        </w:tc>
        <w:tc>
          <w:tcPr>
            <w:tcW w:w="29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70" w:rsidRDefault="002733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370" w:rsidTr="00C2101E">
        <w:trPr>
          <w:trHeight w:val="9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使用环境温度</w:t>
            </w:r>
          </w:p>
        </w:tc>
        <w:tc>
          <w:tcPr>
            <w:tcW w:w="709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0-50°C</w:t>
            </w:r>
          </w:p>
        </w:tc>
      </w:tr>
      <w:tr w:rsidR="00273370" w:rsidTr="00C2101E">
        <w:trPr>
          <w:trHeight w:val="75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使用海拔</w:t>
            </w:r>
          </w:p>
        </w:tc>
        <w:tc>
          <w:tcPr>
            <w:tcW w:w="709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3370" w:rsidRDefault="00BA02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2000M以下</w:t>
            </w:r>
          </w:p>
        </w:tc>
      </w:tr>
    </w:tbl>
    <w:p w:rsidR="00BA0241" w:rsidRDefault="00BA0241"/>
    <w:p w:rsidR="00273370" w:rsidRPr="00C2101E" w:rsidRDefault="00C2101E" w:rsidP="00C2101E">
      <w:pPr>
        <w:widowControl/>
        <w:shd w:val="clear" w:color="auto" w:fill="FFFFFF"/>
        <w:spacing w:after="120" w:line="480" w:lineRule="atLeas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2</w:t>
      </w:r>
      <w:r w:rsidR="00BA0241" w:rsidRPr="00C2101E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、软件</w:t>
      </w:r>
    </w:p>
    <w:tbl>
      <w:tblPr>
        <w:tblW w:w="8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1937"/>
        <w:gridCol w:w="2872"/>
        <w:gridCol w:w="2061"/>
      </w:tblGrid>
      <w:tr w:rsidR="00C2101E" w:rsidTr="00C2101E">
        <w:trPr>
          <w:trHeight w:val="60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 w:rsidP="00110376">
            <w:pPr>
              <w:widowControl/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C2101E">
              <w:rPr>
                <w:rFonts w:ascii="宋体" w:eastAsia="宋体" w:hAnsi="宋体" w:cs="宋体" w:hint="eastAsia"/>
                <w:b/>
                <w:sz w:val="24"/>
              </w:rPr>
              <w:t>软件需求</w:t>
            </w:r>
          </w:p>
        </w:tc>
        <w:tc>
          <w:tcPr>
            <w:tcW w:w="480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 w:rsidP="00C2101E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C2101E">
              <w:rPr>
                <w:rFonts w:ascii="宋体" w:eastAsia="宋体" w:hAnsi="宋体" w:cs="宋体" w:hint="eastAsia"/>
                <w:b/>
                <w:sz w:val="24"/>
              </w:rPr>
              <w:t>品牌型号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Pr="00C2101E" w:rsidRDefault="00C2101E" w:rsidP="00110376">
            <w:pPr>
              <w:widowControl/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C2101E">
              <w:rPr>
                <w:rFonts w:ascii="宋体" w:eastAsia="宋体" w:hAnsi="宋体" w:cs="宋体" w:hint="eastAsia"/>
                <w:b/>
                <w:sz w:val="24"/>
              </w:rPr>
              <w:t>硬件建议</w:t>
            </w:r>
          </w:p>
        </w:tc>
      </w:tr>
      <w:tr w:rsidR="00C2101E" w:rsidTr="00C2101E">
        <w:trPr>
          <w:trHeight w:val="63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Default="00C2101E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木艺虚拟现实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实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训平台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Default="00C2101E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见技术参数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Default="00C2101E" w:rsidP="00C2101E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101E" w:rsidRDefault="00C2101E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HTC Cosmos</w:t>
            </w:r>
          </w:p>
        </w:tc>
      </w:tr>
      <w:tr w:rsidR="00BA0241" w:rsidTr="00C2101E">
        <w:trPr>
          <w:trHeight w:val="285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模型部分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建模软件要求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3DMAX或Maya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精度要求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单个房间误差在2平方米以内，整个基地面积误差不超过5平方米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面数要求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单个模型三角面数低于5W面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贴图要求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贴图尺寸不大于1024*1024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贴图要求还原现实中质感与光泽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285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模型数量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实训基地房间</w:t>
            </w:r>
            <w:r>
              <w:rPr>
                <w:rFonts w:ascii="宋体" w:eastAsia="宋体" w:hAnsi="宋体" w:cs="宋体"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墙面展品</w:t>
            </w:r>
            <w:r>
              <w:rPr>
                <w:rFonts w:ascii="宋体" w:eastAsia="宋体" w:hAnsi="宋体" w:cs="宋体" w:hint="eastAsia"/>
                <w:sz w:val="24"/>
              </w:rPr>
              <w:t>模型数量</w:t>
            </w:r>
            <w:r>
              <w:rPr>
                <w:rFonts w:ascii="宋体" w:eastAsia="宋体" w:hAnsi="宋体" w:cs="宋体"/>
                <w:sz w:val="24"/>
              </w:rPr>
              <w:t>&gt;100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展台展品</w:t>
            </w:r>
            <w:r>
              <w:rPr>
                <w:rFonts w:ascii="宋体" w:eastAsia="宋体" w:hAnsi="宋体" w:cs="宋体" w:hint="eastAsia"/>
                <w:sz w:val="24"/>
              </w:rPr>
              <w:t>模型</w:t>
            </w:r>
            <w:r>
              <w:rPr>
                <w:rFonts w:ascii="宋体" w:eastAsia="宋体" w:hAnsi="宋体" w:cs="宋体"/>
                <w:sz w:val="24"/>
              </w:rPr>
              <w:t>x6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带器械</w:t>
            </w:r>
            <w:r>
              <w:rPr>
                <w:rFonts w:ascii="宋体" w:eastAsia="宋体" w:hAnsi="宋体" w:cs="宋体"/>
                <w:sz w:val="24"/>
              </w:rPr>
              <w:t>工位x2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可拆装</w:t>
            </w:r>
            <w:r>
              <w:rPr>
                <w:rFonts w:ascii="宋体" w:eastAsia="宋体" w:hAnsi="宋体" w:cs="宋体"/>
                <w:sz w:val="24"/>
              </w:rPr>
              <w:t>柜子x2</w:t>
            </w:r>
          </w:p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鲁班锁x1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474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交互部分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整体要求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VR交互设计简洁高效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909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漫游功能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用户使用手柄摇杆，可以在基地房间内实现自由漫游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517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展品交互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所有展品360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全角度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观察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517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学员松开展品后，展品自动归位，保持原状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517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拆装交互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两个柜子+一个鲁班锁，无限次无限制自由拆装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550"/>
        </w:trPr>
        <w:tc>
          <w:tcPr>
            <w:tcW w:w="166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场景要求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场景灯光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灯光与阴影</w:t>
            </w:r>
            <w:r>
              <w:rPr>
                <w:rFonts w:ascii="宋体" w:eastAsia="宋体" w:hAnsi="宋体" w:cs="宋体" w:hint="eastAsia"/>
                <w:sz w:val="24"/>
              </w:rPr>
              <w:t>均使用后处理与光照贴图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673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场景整合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所有模型在场景内遵循实际情况布置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673"/>
        </w:trPr>
        <w:tc>
          <w:tcPr>
            <w:tcW w:w="1665" w:type="dxa"/>
            <w:vMerge w:val="restart"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其他要求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质保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要求厂商提供</w:t>
            </w:r>
            <w:r>
              <w:rPr>
                <w:rFonts w:ascii="宋体" w:eastAsia="宋体" w:hAnsi="宋体" w:cs="宋体"/>
                <w:sz w:val="24"/>
              </w:rPr>
              <w:t>两年免费质量保修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673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要求厂商</w:t>
            </w:r>
            <w:r>
              <w:rPr>
                <w:rFonts w:ascii="宋体" w:eastAsia="宋体" w:hAnsi="宋体" w:cs="宋体"/>
                <w:sz w:val="24"/>
              </w:rPr>
              <w:t>免费对</w:t>
            </w:r>
            <w:r>
              <w:rPr>
                <w:rFonts w:ascii="宋体" w:eastAsia="宋体" w:hAnsi="宋体" w:cs="宋体" w:hint="eastAsia"/>
                <w:sz w:val="24"/>
              </w:rPr>
              <w:t>校方维护</w:t>
            </w:r>
            <w:r>
              <w:rPr>
                <w:rFonts w:ascii="宋体" w:eastAsia="宋体" w:hAnsi="宋体" w:cs="宋体"/>
                <w:sz w:val="24"/>
              </w:rPr>
              <w:t>人员进行操作、保养、维修等方面的培训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0241" w:rsidTr="00C2101E">
        <w:trPr>
          <w:trHeight w:val="673"/>
        </w:trPr>
        <w:tc>
          <w:tcPr>
            <w:tcW w:w="1665" w:type="dxa"/>
            <w:vMerge/>
            <w:shd w:val="clear" w:color="auto" w:fill="FFFFFF"/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维护</w:t>
            </w:r>
          </w:p>
        </w:tc>
        <w:tc>
          <w:tcPr>
            <w:tcW w:w="28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质保期内</w:t>
            </w:r>
            <w:r>
              <w:rPr>
                <w:rFonts w:ascii="宋体" w:eastAsia="宋体" w:hAnsi="宋体" w:cs="宋体" w:hint="eastAsia"/>
                <w:sz w:val="24"/>
              </w:rPr>
              <w:t>厂商</w:t>
            </w:r>
            <w:r>
              <w:rPr>
                <w:rFonts w:ascii="宋体" w:eastAsia="宋体" w:hAnsi="宋体" w:cs="宋体"/>
                <w:sz w:val="24"/>
              </w:rPr>
              <w:t>接到维修通知后1天内到达现场，一周内修复</w:t>
            </w:r>
          </w:p>
        </w:tc>
        <w:tc>
          <w:tcPr>
            <w:tcW w:w="2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0241" w:rsidRDefault="00BA0241" w:rsidP="00110376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A0241" w:rsidRPr="00BA0241" w:rsidRDefault="00BA0241"/>
    <w:sectPr w:rsidR="00BA0241" w:rsidRPr="00BA0241" w:rsidSect="0081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8D" w:rsidRDefault="00044B8D" w:rsidP="00D14ABC">
      <w:r>
        <w:separator/>
      </w:r>
    </w:p>
  </w:endnote>
  <w:endnote w:type="continuationSeparator" w:id="0">
    <w:p w:rsidR="00044B8D" w:rsidRDefault="00044B8D" w:rsidP="00D1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8D" w:rsidRDefault="00044B8D" w:rsidP="00D14ABC">
      <w:r>
        <w:separator/>
      </w:r>
    </w:p>
  </w:footnote>
  <w:footnote w:type="continuationSeparator" w:id="0">
    <w:p w:rsidR="00044B8D" w:rsidRDefault="00044B8D" w:rsidP="00D14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16B9"/>
    <w:rsid w:val="00044B8D"/>
    <w:rsid w:val="00273370"/>
    <w:rsid w:val="004616B9"/>
    <w:rsid w:val="00807EE1"/>
    <w:rsid w:val="00810C23"/>
    <w:rsid w:val="008B6DF6"/>
    <w:rsid w:val="009808C3"/>
    <w:rsid w:val="00AC53A9"/>
    <w:rsid w:val="00B272A3"/>
    <w:rsid w:val="00BA0241"/>
    <w:rsid w:val="00C2101E"/>
    <w:rsid w:val="00D01518"/>
    <w:rsid w:val="00D14ABC"/>
    <w:rsid w:val="00F76650"/>
    <w:rsid w:val="00FE69C5"/>
    <w:rsid w:val="28CC52B2"/>
    <w:rsid w:val="2A0E1DD2"/>
    <w:rsid w:val="6410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0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0C2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1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14A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1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14A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江苏省扬州技师学院(填报)</cp:lastModifiedBy>
  <cp:revision>8</cp:revision>
  <dcterms:created xsi:type="dcterms:W3CDTF">2021-04-13T02:54:00Z</dcterms:created>
  <dcterms:modified xsi:type="dcterms:W3CDTF">2021-04-14T06:09:00Z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