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19653">
      <w:pPr>
        <w:spacing w:line="580" w:lineRule="exact"/>
        <w:ind w:firstLine="198" w:firstLineChars="45"/>
        <w:jc w:val="center"/>
        <w:rPr>
          <w:rFonts w:ascii="Times New Roman" w:hAnsi="Times New Roman" w:eastAsia="方正小标宋_GBK" w:cs="Times New Roman"/>
          <w:snapToGrid w:val="0"/>
          <w:kern w:val="0"/>
          <w:sz w:val="44"/>
          <w:szCs w:val="44"/>
        </w:rPr>
      </w:pPr>
      <w:r>
        <w:rPr>
          <w:rFonts w:hint="eastAsia" w:ascii="Times New Roman" w:hAnsi="Times New Roman" w:eastAsia="方正小标宋_GBK" w:cs="Times New Roman"/>
          <w:snapToGrid w:val="0"/>
          <w:kern w:val="0"/>
          <w:sz w:val="44"/>
          <w:szCs w:val="44"/>
        </w:rPr>
        <w:t>中共江苏省</w:t>
      </w:r>
      <w:r>
        <w:rPr>
          <w:rFonts w:ascii="Times New Roman" w:hAnsi="Times New Roman" w:eastAsia="方正小标宋_GBK" w:cs="Times New Roman"/>
          <w:snapToGrid w:val="0"/>
          <w:kern w:val="0"/>
          <w:sz w:val="44"/>
          <w:szCs w:val="44"/>
        </w:rPr>
        <w:t>扬州</w:t>
      </w:r>
      <w:r>
        <w:rPr>
          <w:rFonts w:hint="eastAsia" w:ascii="Times New Roman" w:hAnsi="Times New Roman" w:eastAsia="方正小标宋_GBK" w:cs="Times New Roman"/>
          <w:snapToGrid w:val="0"/>
          <w:kern w:val="0"/>
          <w:sz w:val="44"/>
          <w:szCs w:val="44"/>
        </w:rPr>
        <w:t>技师学院</w:t>
      </w:r>
      <w:r>
        <w:rPr>
          <w:rFonts w:ascii="Times New Roman" w:hAnsi="Times New Roman" w:eastAsia="方正小标宋_GBK" w:cs="Times New Roman"/>
          <w:snapToGrid w:val="0"/>
          <w:kern w:val="0"/>
          <w:sz w:val="44"/>
          <w:szCs w:val="44"/>
        </w:rPr>
        <w:t>党委</w:t>
      </w:r>
    </w:p>
    <w:p w14:paraId="2C8D7190">
      <w:pPr>
        <w:spacing w:line="580" w:lineRule="exact"/>
        <w:ind w:firstLine="198" w:firstLineChars="45"/>
        <w:jc w:val="center"/>
        <w:rPr>
          <w:rFonts w:ascii="Times New Roman" w:hAnsi="Times New Roman" w:eastAsia="方正小标宋_GBK" w:cs="Times New Roman"/>
          <w:snapToGrid w:val="0"/>
          <w:kern w:val="0"/>
          <w:sz w:val="44"/>
          <w:szCs w:val="44"/>
        </w:rPr>
      </w:pPr>
      <w:r>
        <w:rPr>
          <w:rFonts w:ascii="Times New Roman" w:hAnsi="Times New Roman" w:eastAsia="方正小标宋_GBK" w:cs="Times New Roman"/>
          <w:snapToGrid w:val="0"/>
          <w:kern w:val="0"/>
          <w:sz w:val="44"/>
          <w:szCs w:val="44"/>
        </w:rPr>
        <w:t>关于扬州市委巡察整改进展情况的通报</w:t>
      </w:r>
    </w:p>
    <w:p w14:paraId="3C17A7A8">
      <w:pPr>
        <w:spacing w:line="580" w:lineRule="exact"/>
        <w:ind w:firstLine="640"/>
        <w:rPr>
          <w:rFonts w:ascii="Times New Roman" w:hAnsi="Times New Roman" w:cs="Times New Roman"/>
          <w:szCs w:val="32"/>
        </w:rPr>
      </w:pPr>
    </w:p>
    <w:p w14:paraId="1B87ABED">
      <w:pPr>
        <w:spacing w:line="580" w:lineRule="exac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根据市委统一部署，市委第二巡察组于2024年4月10日至6月10日对我院党委开展了常规巡察，并于2024年9月23日进行了反馈。按照党务公开原则和巡察工作有关要求，现将整改进展情况予以通报：</w:t>
      </w:r>
    </w:p>
    <w:p w14:paraId="3F790D57">
      <w:pPr>
        <w:spacing w:line="58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 xml:space="preserve">一、整改工作组织情况 </w:t>
      </w:r>
    </w:p>
    <w:p w14:paraId="783211A0">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学院党委高度重视市委第二巡察组反馈意见，把巡察整改作为一项重大政治任务、一项重中之重工作来抓，学深悟透市委有关巡察工作精神，进一步深刻领悟“两个确立”的决定性意义，不断增强“四个意识”、坚定“四个自信”、做到“两个维护”，从讲政治、讲党性的高度，严肃认真对待、坚决贯彻推进，确保市委巡察反馈意见得到扎实有效整改落实。</w:t>
      </w:r>
    </w:p>
    <w:p w14:paraId="14DF89E4">
      <w:pPr>
        <w:spacing w:line="560" w:lineRule="exact"/>
        <w:ind w:left="640"/>
        <w:rPr>
          <w:rFonts w:ascii="楷体" w:hAnsi="楷体" w:eastAsia="楷体" w:cs="Times New Roman"/>
          <w:sz w:val="32"/>
          <w:szCs w:val="32"/>
        </w:rPr>
      </w:pPr>
      <w:r>
        <w:rPr>
          <w:rFonts w:ascii="楷体" w:hAnsi="楷体" w:eastAsia="楷体" w:cs="Times New Roman"/>
          <w:sz w:val="32"/>
          <w:szCs w:val="32"/>
        </w:rPr>
        <w:t>（一）</w:t>
      </w:r>
      <w:r>
        <w:rPr>
          <w:rFonts w:hint="eastAsia" w:ascii="楷体" w:hAnsi="楷体" w:eastAsia="楷体" w:cs="Times New Roman"/>
          <w:sz w:val="32"/>
          <w:szCs w:val="32"/>
        </w:rPr>
        <w:t>加强组织领导，提高思想认识</w:t>
      </w:r>
    </w:p>
    <w:p w14:paraId="33DB1772">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学院党委第一时间成立巡察整改工作领导小组，负责学院巡察整改工作的组织领导、统筹协调、指导督促，研究解决整改工作中的相关事项和问题，督促查摆整改，确保巡察整改各项任务全面完成。领导小组下设工作专班，负责巡察整改工作的具体落实，并及时向学院巡察整改工作领导小组汇报工作进展情况。学院多次召开党委会、工作推进会对整改落实工作进行专题部署研究，召开院党委班子巡察整改专项民主生活会，进一步统一全院上下思想认识，切实增强抓好整改落实工作的思想自觉和行动自觉。</w:t>
      </w:r>
    </w:p>
    <w:p w14:paraId="67FEBBDC">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（二）制定整改方案，明确目标措施</w:t>
      </w:r>
    </w:p>
    <w:p w14:paraId="771F2EAD">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结合市委巡察组反馈的意见和学院实际，学院两上两下分解任务，逐项列出问题清单，逐条细化整改措施，逐件明确整改责任和时间要求。针对26个方面的重点问题，依据各部门职责分工细化为199条整改措施，每条措施都有明确的牵头领导、牵头部门、参与部门和整改完成时间，形成了《江苏省扬州技师学院党委关于落实市委巡察反馈意见的整改方案》和整改问题、整改任务、整改责任“三清单”，确保整改工作责任到位、不留盲区、不留死角。坚持把市委巡察组反馈意见整改工作同全面从严治党、全面深化改革等工作结合起来，以整改落实推动学院各方面工作取得新进展新成效。</w:t>
      </w:r>
    </w:p>
    <w:p w14:paraId="7135EEBE">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（三）强化督促检查，扎实推进整改</w:t>
      </w:r>
    </w:p>
    <w:p w14:paraId="1D7E9F26">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学院党委多次召开专题会议，专门听取整改落实情况汇报，研究推进整改落实工作的各项任务。院领导带头认领问题，带头整体落实，形成一级抓一级、层层抓落实的良好工作格局。院党委主要负责人对整改中的重点问题和难点问题，亲自过问，直接督办，动真碰硬，协调解决。党委领导班子成员认真履行“一岗双责”，位子下移，指挥前移，对牵头部门整改情况进行督办。学院巡察整改工作领导小组工作专班加强跟踪监督，检查梳理整改进展情况，动态分析整改工作成效，及时发现存在问题和薄弱环节，推动巡察发现问题真改实改。</w:t>
      </w:r>
    </w:p>
    <w:p w14:paraId="2CEA17FB">
      <w:pPr>
        <w:spacing w:line="58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二、整改落实情况</w:t>
      </w:r>
    </w:p>
    <w:p w14:paraId="1B6115B9">
      <w:pPr>
        <w:spacing w:line="560" w:lineRule="exact"/>
        <w:ind w:firstLine="640" w:firstLineChars="200"/>
        <w:rPr>
          <w:rFonts w:ascii="楷体" w:hAnsi="楷体" w:eastAsia="楷体"/>
          <w:bCs/>
          <w:sz w:val="32"/>
          <w:szCs w:val="32"/>
        </w:rPr>
      </w:pPr>
      <w:r>
        <w:rPr>
          <w:rFonts w:hint="eastAsia" w:ascii="楷体" w:hAnsi="楷体" w:eastAsia="楷体" w:cs="Times New Roman"/>
          <w:sz w:val="32"/>
          <w:szCs w:val="32"/>
        </w:rPr>
        <w:t>（一）</w:t>
      </w:r>
      <w:r>
        <w:rPr>
          <w:rFonts w:hint="eastAsia" w:ascii="楷体" w:hAnsi="楷体" w:eastAsia="楷体"/>
          <w:bCs/>
          <w:sz w:val="32"/>
          <w:szCs w:val="32"/>
        </w:rPr>
        <w:t>关于“学习运用习近平新时代中国特色社会主义思想指导实践推动工作存在弱项”问题的整改</w:t>
      </w:r>
    </w:p>
    <w:p w14:paraId="3F4ECEC4">
      <w:pPr>
        <w:widowControl/>
        <w:ind w:firstLine="643" w:firstLineChars="200"/>
        <w:jc w:val="left"/>
        <w:rPr>
          <w:rFonts w:ascii="宋体" w:hAnsi="宋体" w:eastAsia="宋体" w:cs="宋体"/>
          <w:kern w:val="0"/>
          <w:sz w:val="24"/>
        </w:rPr>
      </w:pPr>
      <w:r>
        <w:rPr>
          <w:rFonts w:hint="eastAsia" w:ascii="仿宋_GB2312" w:hAnsi="仿宋" w:eastAsia="仿宋_GB2312"/>
          <w:b/>
          <w:sz w:val="32"/>
          <w:szCs w:val="32"/>
        </w:rPr>
        <w:t>整改落实情况及成效：</w:t>
      </w:r>
      <w:r>
        <w:rPr>
          <w:rFonts w:hint="eastAsia" w:ascii="仿宋_GB2312" w:hAnsi="仿宋" w:eastAsia="仿宋_GB2312"/>
          <w:sz w:val="32"/>
          <w:szCs w:val="32"/>
        </w:rPr>
        <w:t>一是面对新形势新任务新要求，学院党委进一步提高政治站位，坚持“江苏领先、全国一流”技师学院奋斗目标不动摇，准确把握教育强省、教育强市建设的战略方位，更加自觉落实“走在前、强担当、做示范”的重大要求，在“十个聚焦”上狠下功夫。聚焦思政育人，新增高邮革命斗争史“大思政课”实践教育基地一处，积极推动党的二十大和二十届三中全会精神进教材、进课堂、进头脑；聚焦文化铸魂，扬州市首个以弘扬工匠精神和劳动精神为主题的工匠城市书房在校内正式开馆,校史馆成为学院开展爱国爱校教育、师生了解学习校史的重要文化阵地，邀请知名作家马伯庸、黄梵进校做讲座，打造“名人进校园”的校园文化品牌等;聚焦学生发展，优化了育人工作体系，包括完善资助育人机制、健全心理健康教育和加强班主任队伍建设等内容；聚焦教学改革，重点推进了一体化教学改革，完成6个工学一体化建设示范专业的课改任务，建设了符合标准的工学一体化教学场地6个等；聚焦技能竞赛，在第七届江苏技能状元大赛中，两位同学夺得移动应用开发和数控机床仿真系统应用2个项目“技能状元”，8名师生荣获二、三等奖，学院荣获江苏省人民政府颁发的“高技能人才摇篮奖”等；聚焦社会服务，2024年共开展社会化培训1.1万人次、技能人才评价鉴定1.5万人次，荣获省“五星级”职业技能培训机构和“五星级”职业技能评价机构；聚焦体制机制，巡察整改期间共</w:t>
      </w:r>
      <w:r>
        <w:rPr>
          <w:rFonts w:hint="eastAsia" w:ascii="仿宋_GB2312" w:hAnsi="仿宋_GB2312" w:eastAsia="仿宋_GB2312" w:cs="仿宋_GB2312"/>
          <w:sz w:val="32"/>
          <w:szCs w:val="32"/>
        </w:rPr>
        <w:t>制定修订制度21项；</w:t>
      </w:r>
      <w:r>
        <w:rPr>
          <w:rFonts w:hint="eastAsia" w:ascii="仿宋_GB2312" w:hAnsi="仿宋" w:eastAsia="仿宋_GB2312"/>
          <w:sz w:val="32"/>
          <w:szCs w:val="32"/>
        </w:rPr>
        <w:t>聚焦队伍建设，制定了《学院校内跟岗锻炼实施办法》，6名干部校内跟岗锻炼，2名干部援藏并获佳绩。不断提升干部教育培训质量，举办了暑期干部能力提升培训班，组织科级干部集中学习习近平总书记关于教育重要论述等内容；聚焦校园安全，强化值班纪律，持续开展隐患排查及整改工作；聚焦幸福技师，落实福利保障举措，全体教职工、特别是合同制教师收入水平稳步提升。目前学院全日制在校生一万余人，顺利完成学院“十四五”规划万人校规模目标，为扬州地方经济建设提供了重要的高技能人才支撑。加快推进学院规划建设步伐，积极争取省人社厅和市委市政府支持，努力争取多招高中毕业生源，培养更多高质量技术技能人才。学院在2024年江苏省技工院校办学水平督导评估中表现卓越，以等级“优秀”的优异成绩顺利通过评估。督导组充分肯定学院办学取得的突出成绩，认为学院发展特色鲜明、亮点纷呈，在江苏省技工院校中起到了积极引领作用。紧紧围绕江苏省1650、市613产业体系，把握新质生产力要求，调整优化了5个专业，完成了人社部3个专业的工学一体化优质课堂材料的申报工作。完成高水平技工院校建设申报工作，完成3项省高技能人才专项公共实训项目。船舶产业扬州产业工人学院获批项目建设资金172万元，预计每年将为扬州市船舶制造行业、船舶运输等相关行业培训产业工人1000人次。二是进一步理解行指委的职责定位，明确了行指委的具体作用和任务。根据国家教育政策和行业发展趋势，调整和完善了自身的发展规划和目标并形成文件，确保与行指委的整体工作方向保持一致。制定了行指委培训、座谈会制度，搭建产业与职业教育间的“立交桥”，精准传递行业技术发展趋势、人才需求动态。细化了学院宣传工作方案，积极推广行指委的工作成果和经验做法，提高行指委知名度和影响力。建立了校企合作长效机制，促进企业深度参与人才培养全过程。学院领导分别赴江都亚威、扬州海洋环保设备有限公司等企业进行调研行动，推动校企融合发展走深走实，推动建设产教融合型企业、产业学院、生产性实训基地等载体。后期还将邀请兄弟院校及行业协会成员参与，共同研讨机电行业职业教育的高质量发展理论与实践，为扬州市职业教育提供宝贵意见。</w:t>
      </w:r>
    </w:p>
    <w:p w14:paraId="4D5F0933">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（二）关于“立德树人的根本任务推进不够有力”问题的整改</w:t>
      </w:r>
    </w:p>
    <w:p w14:paraId="6C7753EB">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整改落实情况及成效：</w:t>
      </w:r>
      <w:r>
        <w:rPr>
          <w:rFonts w:hint="eastAsia" w:ascii="仿宋_GB2312" w:hAnsi="仿宋" w:eastAsia="仿宋_GB2312"/>
          <w:sz w:val="32"/>
          <w:szCs w:val="32"/>
        </w:rPr>
        <w:t>一是学院开展校级课程思政示范课建设活动，进一步挖掘专业课程中的思想政治教育资源和元素，寻求工匠精神与课程内容的结合点，以点带面，发挥示范课程的引领作用。2024年学院开展院级课程思政示范课程申报工作，经过各部门申报、专家评审，共立项2个院级课程思政示范课程。以2门课程带动学校其他专业课程的课程思政建设工作。积极开展思想政治课程公开课和专业课程公开课活动，更好示范思想政治教育教学方式以及专业课教学中课程思政元素的挖掘方法和技巧。学院于2024-2025学年第一学期开展了2门课程思政示范课程、6门工学一体化课程和20门专业课共计28门课程的校内公开课活动，同时承办了扬州市技工院校2024年“教学开放日——工学一体化市级公开课”观摩活动，涵盖了7个工学一体化专业和课程，充分融入了课程思政元素，展示了我院教师在工学一体化课和思政课的教学水平和教学质量。调研并汇总形成扬州大市范围内的思政教育校外教学资源共计20个，包括江上青烈士史料陈列馆、朱自清故居等，组织师生参观红色教育基地和具有厚重历史的企业等，开展现场教学。2024年11月，学院开展调研工作，并汇总形成了扬州市域范围内共18个红色教育和2个具有厚重历史的企业等思政教育校外教学资源。根据扬教工委发〔2025〕1号文《扬州市“运河思政”百校百馆协同育人工作方案》要求，2025年春学期起，结合中职阶</w:t>
      </w:r>
      <w:bookmarkStart w:id="55" w:name="_GoBack"/>
      <w:bookmarkEnd w:id="55"/>
      <w:r>
        <w:rPr>
          <w:rFonts w:hint="eastAsia" w:ascii="仿宋_GB2312" w:hAnsi="仿宋" w:eastAsia="仿宋_GB2312"/>
          <w:sz w:val="32"/>
          <w:szCs w:val="32"/>
        </w:rPr>
        <w:t>段四门思政必修课以及“习近平新时代中国特色社会主义思想概论”课程特点，将合作清单里的51所合作场所正式列入思政教育校外教学资源。二是学院组织教师在思政课程的教学过程中，充分运用多种教学形式，比如场景化教学、沉浸式教学、体验式教学等等，帮助学生加强理论联系实际。开展了师生“大思政课”实践教育基地宣讲员预决赛，活动覆盖全院师生。充分利用学院已有的“大思政课”实践教育基地，将扬州的传统文化、红色文化、本土文化更好的融入思政课教学内容。学院基础部（马克思主义学院）组织师生前往高邮市，参观了抗日战争最后一役纪念馆与汪曾祺纪念馆，成功开展了红色教育暨“行走的思政课”活动。多维度拓展实践教育基地，提高已有实践基地的使用率，再根据教学实际和本土条件开发教学资源，使得思政课活起来。新增“大思政课”实践教育基地挂牌合作单位——高邮市抗日战争最后一役纪念馆。与51所合作场馆建立教学联系，开发了“传统文化类”“红色文化类”“新质生产力文化类”“自然生态文化类”等四大主题的社会实践课程，保证学生在校期间实践或研习不少于3次。三是持续向上级积极争取补充思想政治理论课教师编制，面向社会公开招聘思政教师。2025年5月，学院已招聘1名具有思想政治教育学科背景的教师，以强化思政课科研创新能力和教学质量，推动思政课程与课程思政协同发展。梳理学院内部资源，挖掘内部具有思政资质的教师资源，已将各二级学院党总支书记、具有思想政治专业职称的人员等充实思政队伍，学院共有3名二级学院党总支书记和1名二级学院副院长承担部分思政课，其余总支书记因专业限制暂时无法承担思政课程。加强思政教师队伍建设，每逢双周周三下午召开一次思政课教师教研、培训活动，提升业务能力和知识素养，每学期教研、培训活动不少于10次。进一步完善并丰富了思政课共享平台教学资源，在泛雅超星平台开展《中国特色社会主义》《心理健康与职业生涯》《哲学与人生》《职业道德与法治》《思想道德与法治》《毛泽东思想与中国特色社会主义理论体系概论》《习近平新时代中国特色社会主义思想概论》共七门课的课程资源建设，共计上传教案363个，课件425个，视频202个，题库403题，帮助思政课教师提高教学效果。</w:t>
      </w:r>
    </w:p>
    <w:p w14:paraId="38DB4AF1">
      <w:pPr>
        <w:spacing w:line="560" w:lineRule="exact"/>
        <w:ind w:firstLine="640" w:firstLineChars="200"/>
        <w:rPr>
          <w:rFonts w:ascii="楷体" w:hAnsi="楷体" w:eastAsia="楷体"/>
          <w:bCs/>
          <w:sz w:val="32"/>
          <w:szCs w:val="32"/>
        </w:rPr>
      </w:pPr>
      <w:r>
        <w:rPr>
          <w:rFonts w:hint="eastAsia" w:ascii="楷体" w:hAnsi="楷体" w:eastAsia="楷体"/>
          <w:bCs/>
          <w:sz w:val="32"/>
          <w:szCs w:val="32"/>
        </w:rPr>
        <w:t>（三）关于“特色专业建设与扬州产业需求的匹配度有待提高”问题的整改</w:t>
      </w:r>
    </w:p>
    <w:p w14:paraId="6D098F3C">
      <w:pPr>
        <w:spacing w:line="560" w:lineRule="exact"/>
        <w:ind w:firstLine="643" w:firstLineChars="200"/>
        <w:rPr>
          <w:rFonts w:ascii="仿宋_GB2312" w:hAnsi="仿宋" w:eastAsia="仿宋_GB2312"/>
          <w:sz w:val="32"/>
          <w:szCs w:val="32"/>
        </w:rPr>
      </w:pPr>
      <w:r>
        <w:rPr>
          <w:rFonts w:hint="eastAsia" w:ascii="仿宋_GB2312" w:hAnsi="楷体" w:eastAsia="仿宋_GB2312"/>
          <w:b/>
          <w:sz w:val="32"/>
          <w:szCs w:val="32"/>
        </w:rPr>
        <w:t>整改落实情况及成效：</w:t>
      </w:r>
      <w:r>
        <w:rPr>
          <w:rFonts w:hint="eastAsia" w:ascii="仿宋_GB2312" w:hAnsi="仿宋" w:eastAsia="仿宋_GB2312"/>
          <w:sz w:val="32"/>
          <w:szCs w:val="32"/>
        </w:rPr>
        <w:t>一是深入学习江苏省、扬州市重点产业链培育行动等文件精神。2024年，新增船舶建造与维修、光伏应用技术、建筑装饰、计算机程序设计、数字媒体技术应用、机械设备装配与自动控制和电子技术应用7个高技专业，进一步强化了现代信息技术、智能化技术等与传统专业的融合。2025年积极申报智能制造装备技术和网络营销与直播电商等新专业，强化大走访大调研大服务大解题的成果运用，紧密对接新质生产力要求，专业调整机制得到了完善，学科专业布局不断优化，专业建设水平有所提升；新增无人机应用技术、新能源汽车检测与维修技术2个高职专业；数字化智能制造获批省级品牌特色专业群；机电一体化（IHK）、数控加工（数控车工）2个专业获批市级示范专业，持续提升专业与扬州产业需求的匹配度。我院与扬州市总工会共建扬州产业工人学院，2024年被省总工会列为“重点支持建设产业工人学院”，其中“船舶航运”建设项目紧密对接扬州</w:t>
      </w:r>
      <w:bookmarkStart w:id="0" w:name="OLE_LINK40"/>
      <w:bookmarkStart w:id="1" w:name="OLE_LINK39"/>
      <w:r>
        <w:rPr>
          <w:rFonts w:hint="eastAsia" w:ascii="仿宋_GB2312" w:hAnsi="仿宋" w:eastAsia="仿宋_GB2312"/>
          <w:sz w:val="32"/>
          <w:szCs w:val="32"/>
        </w:rPr>
        <w:t>“613”</w:t>
      </w:r>
      <w:bookmarkEnd w:id="0"/>
      <w:bookmarkEnd w:id="1"/>
      <w:r>
        <w:rPr>
          <w:rFonts w:hint="eastAsia" w:ascii="仿宋_GB2312" w:hAnsi="仿宋" w:eastAsia="仿宋_GB2312"/>
          <w:sz w:val="32"/>
          <w:szCs w:val="32"/>
        </w:rPr>
        <w:t>产业体系中的船舶制造和航运物流产业链。该项目采用工学一体化教学模式，致力于培养符合产业发展需求的高素质技能产业工人。同时，我院智能制造产业学院成功获批，被列入江苏联合职业技术学院公布的高职第二批高水平产业学院立项建设名单。二是将深化校企合作、推进产教融合工作纳入学院2025年重点工作，并纳入各二级学院年终考核指标项。在学院三届二次两代会中，学院党委书记明确提出，要在深耕校企合作、加快产教融合上有突破。各二级学院要先行先试，主动走访扬州龙头企业、链主企业、产业园区，通过产业学院、企业学院实体化运作、探索建立混合所有制运营模式，切实提升我院高技能人才培养的质量。紧密围绕江苏省“1650”和扬州市“613”产业体系，不断加强与企业、兄弟院校和地方的全方位合作，产教融合更加深入，学院办学空间进一步拓宽。学院与中国汽车部件的头部企业亚普公司，与电线电缆的领军企业中航宝胜，与船舶制造央企中远海运等一批重量级、代表新质生产力的企业签订校企合作协议，与扬州大学、扬州职大、扬工院、江苏旅游、江海学院等一批兄弟院校签订了校校合作协议，与青岛自贸区、扬州高新区、广陵经济开发区、生态科技新城、总工会等单位签订了校地合作协议，学院合作办学的空间不断拓展。紧跟扬州“613”产业体系新需求，走访企业、拜访兄弟院校开展市场调研，汲取相关先进经验。完善并推进实施教师企业实践制度，制定并完善了《教师企业实践管理办法》《工学一体化教师管理办法》，明确了教师参与企业实践的具体流程、考核标准以及激励机制。通过这些办法，教师能够更有针对性地深入企业一线，参与实际项目运作，将最新的行业技术和实践经验带回课堂。同时，为保障工学一体化教师队伍的高质量发展，办法对教师的选拔、培训及成长路径作出了详细规划，定期组织工学一体化教师开展专项培训，使其不断提升专业技能与教学能力。发挥校友资源优势，建立校友企业实习与就业推荐机制，优先向校友企业推荐优秀毕业生，增强校友企业与学校更加紧密合作。充分发挥学院培训优势，</w:t>
      </w:r>
      <w:bookmarkStart w:id="2" w:name="OLE_LINK48"/>
      <w:r>
        <w:rPr>
          <w:rFonts w:hint="eastAsia" w:ascii="仿宋_GB2312" w:hAnsi="仿宋" w:eastAsia="仿宋_GB2312"/>
          <w:sz w:val="32"/>
          <w:szCs w:val="32"/>
        </w:rPr>
        <w:t>每年深入开展企业新型学徒制600人次</w:t>
      </w:r>
      <w:bookmarkEnd w:id="2"/>
      <w:r>
        <w:rPr>
          <w:rFonts w:hint="eastAsia" w:ascii="仿宋_GB2312" w:hAnsi="仿宋" w:eastAsia="仿宋_GB2312"/>
          <w:sz w:val="32"/>
          <w:szCs w:val="32"/>
        </w:rPr>
        <w:t>，送培训上门，为企业员工个人成长、企业发展提供坚实的保障。</w:t>
      </w:r>
    </w:p>
    <w:p w14:paraId="22C8E071">
      <w:pPr>
        <w:spacing w:line="560" w:lineRule="exact"/>
        <w:ind w:firstLine="640" w:firstLineChars="200"/>
        <w:rPr>
          <w:rFonts w:ascii="楷体" w:hAnsi="楷体" w:eastAsia="楷体"/>
          <w:bCs/>
          <w:sz w:val="32"/>
          <w:szCs w:val="32"/>
        </w:rPr>
      </w:pPr>
      <w:r>
        <w:rPr>
          <w:rFonts w:hint="eastAsia" w:ascii="楷体" w:hAnsi="楷体" w:eastAsia="楷体"/>
          <w:bCs/>
          <w:sz w:val="32"/>
          <w:szCs w:val="32"/>
        </w:rPr>
        <w:t>（四）关于“工学一体化人才培养模式改革不到位”问题的整改</w:t>
      </w:r>
    </w:p>
    <w:p w14:paraId="467E2326">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整改落实情况及成效：</w:t>
      </w:r>
      <w:r>
        <w:rPr>
          <w:rFonts w:hint="eastAsia" w:ascii="仿宋_GB2312" w:hAnsi="仿宋" w:eastAsia="仿宋_GB2312"/>
          <w:sz w:val="32"/>
          <w:szCs w:val="32"/>
        </w:rPr>
        <w:t>一是学院通过将工学一体化教学改革工作以院级课题立项的方式，以课题研究各项成果助力工学一体化教学改革工作的推进，全程监督完成6个校级工学一体化课改课题建设和结题工作。完成6个工学一体化建设示范专业的课改任务，同时积极完成了人社部3个专业的工学一体化优质课堂材料的申报工作。学校6个工学一体化教学场地已初步建成并投入使用，满足了6个工学一体化建设示范专业的教学需求。实现6个工学一体化建设示范专业的落地实施，开展工学一体化校级示范课活动等教研活动，通过课堂教学的实践和教研活动的交流等形式检验教学资源和一体化场地建设质量，并螺旋式改进、提高，缩小并赶上与省内头部院校的差距。自2024年9月起至今，学校已经举办了13次教研大讲堂活动，开展了工学一体化一系列相关培训交流活动；开展了工学一体化课程、专业课程、公共基础课程和课程思政示范课程的校级公开课56次，其中包括14个工学一体化公开课。2024年10月学校组织开展了工学一体化专题技师论坛活动，邀请专家作工学一体化优质项目建设解读培训。2024年12月30日学校还开展全市技工院校教学开放日——工学一体化市级公开课活动，推动工学一体化校际之间的交流，有效提升工学一体化示范课堂建设质量。二是加大对专任专业课教师工学一体化的培训力度，2024年，我校参加全国工学一体化师资培训取证人数124人，其中，获得一级证书15人，同比增长35%；获得二级证书21人，同比增长58%；获得三级证书88人，同比增长28%。我校教师仲小敏被确定为省“333”培养对象，唐兴瑞、殷子鸣被评为省“五一”劳动奖章，薛飞、吴晋卿被评为“卓越技师”A类，夏海洵被评为“市突出贡献中青年专家”；新增3名产业教授、1名正高、15名副高职称教师（含1名合同制教师）。持续推进《江苏省扬州技师学院双师型教师认定办法》的发文和实施工作。修订《外聘（兼职）教师管理办法》，明确聘用企业教师人数比例，强化对学生实践操作的直接指导。三是制定了《江苏省扬州技师学院专任教师下企业实践管理办法》，并督促二级学院做好专业教师下企业实践工作。加大对二级学院的考核力度，制定了年度专业教师下企业实践计划，报人事处备案，并将专业教师下企业实践的情况作为年度绩效考核、职称评定、双师型教师认定的重要依据。各二级学院合理安排新入职教师教学任务，针对2024、2025年新入职专任教师21人，均已安排下企业实践，通过一线岗位锻炼，更好地掌握了专业前沿技术、有效提升了实操技能和产业认知，反哺教学；教师拥有企业经历大大提升了“双师型”队伍素质，使学生培养更贴近岗位需求。同时完善检查制度，各二级学院明确专人检查，人事处抽查，确保监督到位，保证实践成效。</w:t>
      </w:r>
    </w:p>
    <w:p w14:paraId="70174FAE">
      <w:pPr>
        <w:spacing w:line="560" w:lineRule="exact"/>
        <w:ind w:firstLine="640" w:firstLineChars="200"/>
        <w:rPr>
          <w:rFonts w:ascii="楷体" w:hAnsi="楷体" w:eastAsia="楷体"/>
          <w:bCs/>
          <w:sz w:val="32"/>
          <w:szCs w:val="32"/>
        </w:rPr>
      </w:pPr>
      <w:r>
        <w:rPr>
          <w:rFonts w:hint="eastAsia" w:ascii="楷体" w:hAnsi="楷体" w:eastAsia="楷体"/>
          <w:bCs/>
          <w:sz w:val="32"/>
          <w:szCs w:val="32"/>
        </w:rPr>
        <w:t>（五）关于“师资队伍不稳定”</w:t>
      </w:r>
      <w:bookmarkStart w:id="3" w:name="OLE_LINK7"/>
      <w:r>
        <w:rPr>
          <w:rFonts w:hint="eastAsia" w:ascii="楷体" w:hAnsi="楷体" w:eastAsia="楷体"/>
          <w:bCs/>
          <w:sz w:val="32"/>
          <w:szCs w:val="32"/>
        </w:rPr>
        <w:t>问题的整改</w:t>
      </w:r>
    </w:p>
    <w:p w14:paraId="1F947C9D">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整改落实情况及成效：</w:t>
      </w:r>
      <w:bookmarkEnd w:id="3"/>
      <w:r>
        <w:rPr>
          <w:rFonts w:hint="eastAsia" w:ascii="仿宋_GB2312" w:hAnsi="仿宋" w:eastAsia="仿宋_GB2312"/>
          <w:sz w:val="32"/>
          <w:szCs w:val="32"/>
        </w:rPr>
        <w:t>一是认真学习省、市关于编制周转池相关文件精神，多次和人社局职建处、事管处、市委编办等部门对接高技能人才周转池事项，争取通过周转池解决师资缺口大的问题。2025年3月向编办递交《关于增加引进高技能人才编制的报告》，之后在市人社局领导下基层调研中再次向人社局提出相关诉求，请人社局共同呼吁相关部门予以增编支持，以解师资燃眉之急。二是各二级学院合同制教师通过增加课时量、担任班主任工作、参加培训创收等方式，获取更高收入。三是优化合同制教师薪酬激励机制。按照多劳多得的原则，鼓励学院合同制教师可以通过多上课、担任班主任、参与培训创收工作增长收入；建立联动机制，将培训创收返利部分的费用用于合同制教师基本工资上调10%，再参照行政管理及后勤服务工作人员办学效益奖励岗位系数制表发放一部分费用，合同制教师的收入水平得到显著提升，因收入问题提出离职的合同制教师的流失率为零。拓宽合同制教师职称晋升渠道，从2024年起，合同制教师可以参加专业技术高级职称评审，我院合同制教师周秋菊已取得专业技术高级职称。合同制教师职称评审通道的开放，拓宽了教师的职业发展前景，进一步稳定了师资队伍。完善外聘教师监督管理体系，我院已于2025年2月发布《外聘（兼职）教师管理办法（修订版）》，进一步规范了学院外聘教师的招聘及使用。在2024年10月教学例会进一步明确了兼职督导人员安排以及重点加强对外聘教师任课质量的监督和指导的要求，全面提升教学质量；2024年12月教学例会明确要求加大外聘教师参加教学研讨活动力度，提升外聘教师教学能力和水平。召开了学校督导会议及教学诊断改进会议，对于外聘教师教学水平等问题，进一步明确了利用每月教学例会反馈整改进度；同时，鼓励外聘教师积极参加校级课题等教科研活动，确保整改实效。四是2025年春季学期开学初已组织各二级学院启动班主任助理制度，由学生干部助理分担部分日常管理工作，减轻班主任负担。同时，为更好减轻班主任负担，拟在各二级学院对照岗位分工明确学生科辅助人员享受行政待遇，根本上解决学生管理队伍人员不足的问题，提升相关教师获得感。固化班主任培训工作周期，每学期开展不少于1次集体性培训；已制定2025年春季学期班主任职业能力培训计划，4-5月份组织班主任论坛。积极组织班主任参加外部研讨会，2025年已组织报名参加江苏省职业技术教育学会“2025年职业学校班主任沙龙”开展职业学校班主任如何做好学生安全教育、名班主任工作室建设经验交流等交流学习活动。组织印发《2025年江苏省扬州技师学院教师职业能力大赛校内选拔赛班主任赛比赛工作手册》,4月全面启动“江苏省扬州技师学院班主任职业能力大赛”，全面考察我校班主任队伍业务能力，并聘请专家在“班级建设方案”“主题班会/活动设计”等方向，结合时代主题开展针对性培训。印发《江苏省扬州技师学院班主任岗位职责》《江苏省扬州技师学院学生管理工作责任认定及处理指导意见》等相关通知，帮助班主任明确职责与工作内容边界，减轻班主任管理压力，合理规划班主任聘任工作。</w:t>
      </w:r>
    </w:p>
    <w:p w14:paraId="1099D72E">
      <w:pPr>
        <w:spacing w:line="560" w:lineRule="exact"/>
        <w:ind w:firstLine="640" w:firstLineChars="200"/>
        <w:rPr>
          <w:rFonts w:ascii="楷体" w:hAnsi="楷体" w:eastAsia="楷体"/>
          <w:bCs/>
          <w:sz w:val="32"/>
          <w:szCs w:val="32"/>
        </w:rPr>
      </w:pPr>
      <w:r>
        <w:rPr>
          <w:rFonts w:hint="eastAsia" w:ascii="楷体" w:hAnsi="楷体" w:eastAsia="楷体"/>
          <w:bCs/>
          <w:sz w:val="32"/>
          <w:szCs w:val="32"/>
        </w:rPr>
        <w:t>（六）关于“忽视职业教育的普惠性与全面性”问题的整改</w:t>
      </w:r>
    </w:p>
    <w:p w14:paraId="2E47D20A">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整改落实情况及成效：</w:t>
      </w:r>
      <w:r>
        <w:rPr>
          <w:rFonts w:hint="eastAsia" w:ascii="仿宋_GB2312" w:hAnsi="仿宋" w:eastAsia="仿宋_GB2312"/>
          <w:sz w:val="32"/>
          <w:szCs w:val="32"/>
        </w:rPr>
        <w:t>一是2024年下半年开始，学院增设每学期“开学听课月”举措，通过具有副高职称及以上校领导和职能部门领导推门听课活动，进一步强化学校对基础教学的重视度，目前已完成听课450节次，实现对二级学院和基础部的全覆盖。实训处修订青苗班选拔机制，增加了新生针对职业技能大赛项目的体验环节，进一步扩大选拔面，同时通过班会课的宣讲等，不断提高普通学生对大赛项目的关注度和参与度。二是竞赛成果转化方面，在二级学院教研室教研活动中增加大赛成果转化的研讨主题并使之固化成常规要求。在学院承办的省级商贸中心教研组活动中邀请资深专家开展以大赛成果转化为主题的专题讲座。2025年1月，校领导班子集中听取各二级学院关于技能大赛成果转化研究的专题汇报。3月，学院举办技能竞赛成果转化优秀案例征集活动，进一步推动学院“以赛促教、以赛促学、赛教融合”的教育理念落地应用，最终遴选了各二级学院层面的总结案例6篇以及各教研室的实践探索案例20篇，并汇编成册，案例汇编累计超15万字。经校内外专家从实施成效、促进专业建设、促进学生发展等维度进行综合评审，最终《深耕高技能人才赋能领域》《赛技砺教展专业风采》《成果转化育英才辈出》等3篇案例荣获一等奖，6篇案例获二等奖，8篇案例获三等奖及优秀奖若干。实训处梳理出近3年大赛购置设备台账，完善竞赛设备使用效益评价体系，合理控制增量，进一步完善了管理制度。移动应用开发实训基地已整合到位。</w:t>
      </w:r>
    </w:p>
    <w:p w14:paraId="72B420F7">
      <w:pPr>
        <w:spacing w:line="560" w:lineRule="exact"/>
        <w:ind w:firstLine="640" w:firstLineChars="200"/>
        <w:rPr>
          <w:rFonts w:ascii="楷体" w:hAnsi="楷体" w:eastAsia="楷体"/>
          <w:bCs/>
          <w:sz w:val="32"/>
          <w:szCs w:val="32"/>
        </w:rPr>
      </w:pPr>
      <w:r>
        <w:rPr>
          <w:rFonts w:hint="eastAsia" w:ascii="楷体" w:hAnsi="楷体" w:eastAsia="楷体"/>
          <w:bCs/>
          <w:sz w:val="32"/>
          <w:szCs w:val="32"/>
        </w:rPr>
        <w:t>（七）关于“教师队伍锐意进取的紧迫感不强”</w:t>
      </w:r>
      <w:bookmarkStart w:id="4" w:name="OLE_LINK9"/>
      <w:bookmarkStart w:id="5" w:name="OLE_LINK10"/>
      <w:bookmarkStart w:id="6" w:name="OLE_LINK8"/>
      <w:r>
        <w:rPr>
          <w:rFonts w:hint="eastAsia" w:ascii="楷体" w:hAnsi="楷体" w:eastAsia="楷体"/>
          <w:bCs/>
          <w:sz w:val="32"/>
          <w:szCs w:val="32"/>
        </w:rPr>
        <w:t>问题的整改</w:t>
      </w:r>
    </w:p>
    <w:p w14:paraId="574815C2">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整改落实情况及成效：</w:t>
      </w:r>
      <w:bookmarkEnd w:id="4"/>
      <w:bookmarkEnd w:id="5"/>
      <w:bookmarkEnd w:id="6"/>
      <w:r>
        <w:rPr>
          <w:rFonts w:hint="eastAsia" w:ascii="仿宋_GB2312" w:hAnsi="仿宋" w:eastAsia="仿宋_GB2312"/>
          <w:sz w:val="32"/>
          <w:szCs w:val="32"/>
        </w:rPr>
        <w:t>一是针对课程分配不均问题，教务处启动专项统计和自查，要求各学院二级学院（部）分析课程分配情况。目前二级学院（部）已对存在的课时任务分配不均问题进行及时整改，实现教学任务科学化、均衡化分配。通过走访学院各二级学院、企业及兄弟院校调研和座谈，对招生制度进行修订和完善。2024年度的招生工作已按照新修订的《江苏省扬州技师学院招生工作管理办法（修订稿）》执行。招就处多次组织召开工作布置会，通过整合资源、跨部门联动开展工作。</w:t>
      </w:r>
      <w:bookmarkStart w:id="7" w:name="OLE_LINK73"/>
      <w:r>
        <w:rPr>
          <w:rFonts w:hint="eastAsia" w:ascii="仿宋_GB2312" w:hAnsi="仿宋" w:eastAsia="仿宋_GB2312"/>
          <w:sz w:val="32"/>
          <w:szCs w:val="32"/>
        </w:rPr>
        <w:t>继教处</w:t>
      </w:r>
      <w:bookmarkEnd w:id="7"/>
      <w:r>
        <w:rPr>
          <w:rFonts w:hint="eastAsia" w:ascii="仿宋_GB2312" w:hAnsi="仿宋" w:eastAsia="仿宋_GB2312"/>
          <w:sz w:val="32"/>
          <w:szCs w:val="32"/>
        </w:rPr>
        <w:t>修订了《社会培训工作管理办法和制度》，其中第三章培训管理中提出“必须遵守学院教学管理的有关规定，在保证学院正常教学秩序的前提下，鼓励各部门大力开展相关专业社会培训项目”。招就处利用班主任会、学工联席会等号召全体教师注重时间管理，分清工作中的轻重缓急，指导教师利用课余时间采用抖音、微信等线上平台，多渠道，多形式开展招生宣传工作。二是教务处、学工处加强督促各二级学院（部）落实“传帮带”工作、充分发挥老教师对新教师教学、教研的指导和帮助作用。新教师邓路云、金格格、邵玉等人在江苏省教师职业能力大赛中取得佳绩。唐兴瑞、张鹏辉、谢涛等人在技能竞赛中获得全国技术能手称号。薛宇程、刘书宁等人在论文、教案、微课等教学成果评比中获奖。同时多人参加课题研究，多人在期刊上发表学术论文。在校园网面向全体教职工宣传《学院“固本强基三年提升行动”学历水平提升管理办法（修订）》，鼓励教职工在职参加学历提升。在2025年年度考核中将二级学院学历提升情况列为考核指标，督促二级学院加大学历提升进度。自2024年以来，我校招聘以高学历高技能人才为主，合计聘用17人。根据学院工作安排，2025年公开招聘岗位除高技能人才外，均招聘研究生学历工作人员。三是通过多种举措提升教师职业能力素养。2024年下半年以来，学校完成了6个校级工学一体化课改的结题工作，6个专业的工学一体化材料的建设工作；举办了教研大讲堂，开展工学一体化一系列相关培训交流活动；开展了工学一体化课程、专业课程、公共基础课程和课程思政示范课程的校级公开课；开展了2次工学一体化专题技师论坛活动，邀请专家对工学一体化优质项目建设进行解读培训</w:t>
      </w:r>
      <w:bookmarkStart w:id="8" w:name="OLE_LINK41"/>
      <w:r>
        <w:rPr>
          <w:rFonts w:hint="eastAsia" w:ascii="仿宋_GB2312" w:hAnsi="仿宋" w:eastAsia="仿宋_GB2312"/>
          <w:sz w:val="32"/>
          <w:szCs w:val="32"/>
        </w:rPr>
        <w:t>，</w:t>
      </w:r>
      <w:bookmarkEnd w:id="8"/>
      <w:r>
        <w:rPr>
          <w:rFonts w:hint="eastAsia" w:ascii="仿宋_GB2312" w:hAnsi="仿宋" w:eastAsia="仿宋_GB2312"/>
          <w:sz w:val="32"/>
          <w:szCs w:val="32"/>
        </w:rPr>
        <w:t>多方位提升教师专业化教学水平。</w:t>
      </w:r>
      <w:bookmarkStart w:id="9" w:name="OLE_LINK4"/>
      <w:r>
        <w:rPr>
          <w:rFonts w:hint="eastAsia" w:ascii="仿宋_GB2312" w:hAnsi="仿宋" w:eastAsia="仿宋_GB2312"/>
          <w:sz w:val="32"/>
          <w:szCs w:val="32"/>
        </w:rPr>
        <w:t>目前教务处正在积极开展下一届全国技工院校教师职业能力大赛备赛的相关工作，学校在2025年7月份的江苏省技工院校教师职业能力大赛中，获得了8个专业类别中5个专业类别的第一名，为后续国赛实现新突破奠定了坚实的基础。</w:t>
      </w:r>
    </w:p>
    <w:bookmarkEnd w:id="9"/>
    <w:p w14:paraId="2392FF95">
      <w:pPr>
        <w:spacing w:line="560" w:lineRule="exact"/>
        <w:ind w:firstLine="640" w:firstLineChars="200"/>
        <w:rPr>
          <w:rFonts w:ascii="楷体" w:hAnsi="楷体" w:eastAsia="楷体"/>
          <w:bCs/>
          <w:sz w:val="32"/>
          <w:szCs w:val="32"/>
        </w:rPr>
      </w:pPr>
      <w:r>
        <w:rPr>
          <w:rFonts w:hint="eastAsia" w:ascii="楷体" w:hAnsi="楷体" w:eastAsia="楷体"/>
          <w:bCs/>
          <w:sz w:val="32"/>
          <w:szCs w:val="32"/>
        </w:rPr>
        <w:t>（八）关于“校园基础设施建设难以满足现阶段需求”问题的整改</w:t>
      </w:r>
    </w:p>
    <w:p w14:paraId="7656D694">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整改落实情况及成效：</w:t>
      </w:r>
      <w:r>
        <w:rPr>
          <w:rFonts w:hint="eastAsia" w:ascii="仿宋_GB2312" w:hAnsi="仿宋" w:eastAsia="仿宋_GB2312"/>
          <w:sz w:val="32"/>
          <w:szCs w:val="32"/>
        </w:rPr>
        <w:t>一是市政府第57期专题会议决定在我院东侧新建扬子津科教园公寓，解决我院新校区住宿床位缺口问题。2025年8月，科教园公寓已建成，并交付给我院使用，江都路校区的师生整体迁入新校区。二是学院根据现有条件，梳理出各二级学院每学期的教学内容及实习内容，调整了部分实训场地实习班次，将场地紧张的实训课程由常白班调整为上午和下午对倒班，有效减轻实习工位不足的压力。2024年下半年优化设备使用和管理，完成了近30台各类数控车、铣、磨床维修保养，15套工业机器人模组设备维护和系统升级，35台电工实训设备维修改造，2台气泵空压机保养等项目，有效提高了设备的利用率，避免设备闲置，定期维护，确保其正常运行。随着每年招生生源数量的逐渐减少，学院将逐渐调整进一步优化工位布局，目前学院对实训设备的采购逐年增加，后续将逐步满足专业实训的工位数需求。学院截至2024年，采购了数控车床仿真设备、建筑沙盘、智能驾驶座舱、船员驾驶虚拟仿真平台等仿真软件或仿真设备来解决实习工位短缺的问题。仿真软件可以模拟实际操作环境，使学生在没有实际设备的情况下进行练习，有效减轻实习设备和耗材的使用量。三是学院明确“智慧校园、美丽校园、文化校园、竞技校园”四个校园建设目标，重点强化校训、校歌、校史教育。2024年，学院新校歌发布，歌词中巧妙融入学院发展历程、育人理念与美好愿景，承载着深厚的文化底蕴。为推动校歌深入人心，学院组织了校歌传唱活动，同时借助校园广播、新媒体平台等渠道循环播放校歌，使其成为校园中最常响起的旋律。校史馆成为爱国爱扬州爱校教育的重要阵地，全年接待参观达5千人次。举办扬州技师学院办学六十五周年暨高技能人才培养改革发展大会，《技师摇篮·大匠之始》校史书顺利出版。为充分发挥校史育人功能，学院将校史内容融入新生入学教育、主题班会等活动，让校史成为每一位师生心中的精神坐标。学院增加了“非遗进校园”“扬州党史进校园”“名人进校园”“高雅艺术进校园”等各种品牌文化活动。校报持续开设“书香校园”专栏，刊登师生的读书感悟、好书推荐、佳句分享等内容，学院项目连续两年入选扬州市委网信办主办的市级网上重大主题宣传活动，不断强化学院校园文化网络宣传品牌效应。同时，学院加强了校园环境文化建设，对校内宣传橱窗、电子大屏、主干道道旗进行统筹规划、专题布置，设计制作“学习贯彻党的二十届三中全会精神”“大国工匠”“沸腾校园”“校园之星”等专题宣传展板80余个，设计制作校内电子屏文化宣传画面60余张，宣传橱窗和道旗更新8次，不断完善特色文化墙、文化长廊等布置，进一步增强师生的文化认同感和归属感。扬州市首个以弘扬工匠精神和劳动精神为主题的工匠城市书房入驻我校并正式开馆，供广大师生与周边群众借阅</w:t>
      </w:r>
      <w:bookmarkStart w:id="10" w:name="OLE_LINK74"/>
      <w:bookmarkStart w:id="11" w:name="OLE_LINK75"/>
      <w:r>
        <w:rPr>
          <w:rFonts w:hint="eastAsia" w:ascii="仿宋_GB2312" w:hAnsi="仿宋" w:eastAsia="仿宋_GB2312"/>
          <w:sz w:val="32"/>
          <w:szCs w:val="32"/>
        </w:rPr>
        <w:t>书籍</w:t>
      </w:r>
      <w:bookmarkEnd w:id="10"/>
      <w:bookmarkEnd w:id="11"/>
      <w:r>
        <w:rPr>
          <w:rFonts w:hint="eastAsia" w:ascii="仿宋_GB2312" w:hAnsi="仿宋" w:eastAsia="仿宋_GB2312"/>
          <w:sz w:val="32"/>
          <w:szCs w:val="32"/>
        </w:rPr>
        <w:t>，每天进馆阅读和借阅达百人次以上，图书馆藏量达11.6万册，充分运用自助借还机等新设备，读者自助借阅快速方便。四是学院已在</w:t>
      </w:r>
      <w:bookmarkStart w:id="12" w:name="OLE_LINK37"/>
      <w:bookmarkStart w:id="13" w:name="OLE_LINK38"/>
      <w:r>
        <w:rPr>
          <w:rFonts w:hint="eastAsia" w:ascii="仿宋_GB2312" w:hAnsi="仿宋" w:eastAsia="仿宋_GB2312"/>
          <w:sz w:val="32"/>
          <w:szCs w:val="32"/>
        </w:rPr>
        <w:t>体育馆一楼学生会办公室</w:t>
      </w:r>
      <w:bookmarkEnd w:id="12"/>
      <w:bookmarkEnd w:id="13"/>
      <w:r>
        <w:rPr>
          <w:rFonts w:hint="eastAsia" w:ascii="仿宋_GB2312" w:hAnsi="仿宋" w:eastAsia="仿宋_GB2312"/>
          <w:sz w:val="32"/>
          <w:szCs w:val="32"/>
        </w:rPr>
        <w:t>建成学生</w:t>
      </w:r>
      <w:bookmarkStart w:id="14" w:name="OLE_LINK36"/>
      <w:bookmarkStart w:id="15" w:name="OLE_LINK35"/>
      <w:r>
        <w:rPr>
          <w:rFonts w:hint="eastAsia" w:ascii="仿宋_GB2312" w:hAnsi="仿宋" w:eastAsia="仿宋_GB2312"/>
          <w:sz w:val="32"/>
          <w:szCs w:val="32"/>
        </w:rPr>
        <w:t>“一站式综合服务大厅”</w:t>
      </w:r>
      <w:bookmarkEnd w:id="14"/>
      <w:bookmarkEnd w:id="15"/>
      <w:r>
        <w:rPr>
          <w:rFonts w:hint="eastAsia" w:ascii="仿宋_GB2312" w:hAnsi="仿宋" w:eastAsia="仿宋_GB2312"/>
          <w:sz w:val="32"/>
          <w:szCs w:val="32"/>
        </w:rPr>
        <w:t>，并于2024年秋学期投入使用，目前，可以一站式办理学生学籍注册、休退学、转专业、资助申请等相关事宜。修订、简化了网上办事流程，利用信息化和网络平台公示，指导班主任将相关办事流程的宣传、教育工作纳入班级管理学期计划。开展班主任、学生信息化技能培训，进一步树立“一站式”学生社区理念，师生信息化平台利用率达60%。</w:t>
      </w:r>
    </w:p>
    <w:p w14:paraId="3C6D80AA">
      <w:pPr>
        <w:spacing w:line="560" w:lineRule="exact"/>
        <w:ind w:firstLine="640" w:firstLineChars="200"/>
        <w:rPr>
          <w:rFonts w:ascii="楷体" w:hAnsi="楷体" w:eastAsia="楷体"/>
          <w:bCs/>
          <w:sz w:val="32"/>
          <w:szCs w:val="32"/>
        </w:rPr>
      </w:pPr>
      <w:r>
        <w:rPr>
          <w:rFonts w:hint="eastAsia" w:ascii="楷体" w:hAnsi="楷体" w:eastAsia="楷体"/>
          <w:bCs/>
          <w:sz w:val="32"/>
          <w:szCs w:val="32"/>
        </w:rPr>
        <w:t>（九）关于“校园安全保障存在隐患”</w:t>
      </w:r>
      <w:bookmarkStart w:id="16" w:name="OLE_LINK11"/>
      <w:bookmarkStart w:id="17" w:name="OLE_LINK12"/>
      <w:r>
        <w:rPr>
          <w:rFonts w:hint="eastAsia" w:ascii="楷体" w:hAnsi="楷体" w:eastAsia="楷体"/>
          <w:bCs/>
          <w:sz w:val="32"/>
          <w:szCs w:val="32"/>
        </w:rPr>
        <w:t>问题的整改</w:t>
      </w:r>
    </w:p>
    <w:p w14:paraId="7BE56A0B">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整改落实情况及成效：</w:t>
      </w:r>
      <w:bookmarkEnd w:id="16"/>
      <w:bookmarkEnd w:id="17"/>
      <w:r>
        <w:rPr>
          <w:rFonts w:hint="eastAsia" w:ascii="仿宋_GB2312" w:hAnsi="仿宋" w:eastAsia="仿宋_GB2312"/>
          <w:sz w:val="32"/>
          <w:szCs w:val="32"/>
        </w:rPr>
        <w:t>一是2024年下半年继续优化和改造了1号楼钳工实训场地5间，优化实训工位150多个，将所有照明灯管更换为大功率LED灯，灯具在原有位置上下降1.5米，有效的改善了照明效果，在每个场地安装了2个工业级排风扇，提升了通风效果，消除安全隐患。二是经多次与扬州科教集团磋商，其名下产权10号楼2025年6月合同到期后不再对外租赁，全部交予学校教学使用。在16号楼科教培训中心宾馆与校园间安装隔离栅栏，正常处于关闭状态，安排专人管理。三是2024年下半年，学院在各宿舍大楼出入口和东门、北门口启用了人脸识别道闸系统，学院后保处与学工处联动，依据实际情况实时更新学生基础信息，目前已实现学生刷脸入校，消除了出入校园安全隐患。</w:t>
      </w:r>
    </w:p>
    <w:p w14:paraId="7516C57D">
      <w:pPr>
        <w:spacing w:line="560" w:lineRule="exact"/>
        <w:ind w:left="643"/>
        <w:rPr>
          <w:rFonts w:ascii="楷体" w:hAnsi="楷体" w:eastAsia="楷体"/>
          <w:bCs/>
          <w:sz w:val="32"/>
          <w:szCs w:val="32"/>
        </w:rPr>
      </w:pPr>
      <w:r>
        <w:rPr>
          <w:rFonts w:hint="eastAsia" w:ascii="楷体" w:hAnsi="楷体" w:eastAsia="楷体"/>
          <w:bCs/>
          <w:sz w:val="32"/>
          <w:szCs w:val="32"/>
        </w:rPr>
        <w:t>（十）关于“学生就业指导保障服务不到位”</w:t>
      </w:r>
      <w:bookmarkStart w:id="18" w:name="OLE_LINK13"/>
      <w:r>
        <w:rPr>
          <w:rFonts w:hint="eastAsia" w:ascii="楷体" w:hAnsi="楷体" w:eastAsia="楷体"/>
          <w:bCs/>
          <w:sz w:val="32"/>
          <w:szCs w:val="32"/>
        </w:rPr>
        <w:t>问题的整改</w:t>
      </w:r>
    </w:p>
    <w:p w14:paraId="114AE611">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整改落实情况及成效：</w:t>
      </w:r>
      <w:bookmarkEnd w:id="18"/>
      <w:r>
        <w:rPr>
          <w:rFonts w:hint="eastAsia" w:ascii="仿宋_GB2312" w:hAnsi="仿宋" w:eastAsia="仿宋_GB2312"/>
          <w:sz w:val="32"/>
          <w:szCs w:val="32"/>
        </w:rPr>
        <w:t>一是不断健全就业指导体系，为毕业生提供优质指导服务。先后开设了《心理健康与职业生涯》《就业创业指导》《哲学与人生》等课程，通过集体备课，将“职业生涯与就业指导”内容纳入《心理健康与职业生涯》课程进行教育教学。邀请企业代表进行职业生涯指导，组织学生赴潍柴特车、江淮汽车等知名企业实地参观，通过第一课堂和第二课堂的有机融合，持续加强学生的就业价值观引领，引导学生深刻理解把握时代潮流和国家需要，及早做好职业规划。开展毕业生就业跟踪调查和管理。建立多元化沟通渠道，利用微信、钉钉等线上平台，通过对学生实习台账、走访实习企业等线下督导检查的形式，实时了解实习生和毕业生的实习就业动态，每年年底编制年度就业分析报告，形成学业、就业、企业的闭环管理。积极开展“一把手”访企拓岗专项行动，开展企业调研，持续拓展市场性岗位，组织线上、线下、大型、专场等形式多样的推介会。定期在学院网站及网络平台中发布企业招聘信息、各区域人才政策。各班主任利用班会课、顶岗实习等时间，不定期向毕业班学生详细解读这些招聘信息与人才政策。二是学院严格按照《学生顶岗实习管理办法》《学生工学交替管理办法》明确各阶段的学习目标和任务。各二级学院在工学交替前制定了详细的工学交替方案，明确学生在企业实习期间应达到的学习目标和任务，在实习前提前按照管理办法报备，招就处、教务处、学工处形成联动机制，采取台账检查、赴工学交替企业、电话抽查等形式对学生实习过程的监督和管理，确保学生能够按时按质完成实习任务。为保证实习质量，在集中顶岗实习前召开会议对学生进行岗前培训，强调实习期间安全纪律与注意事项，同时，学校、实习单位、学生三方签订协议，切实保障学生的合法权益和实习效果。建立了学生、教师和企业的三方反馈机制，及时了解工学一体教育模式的实施效果和问题，并根据反馈意见进行持续改进和优化，确保工学一体教育模式能够真正落到实处并取得实效。由学院招就处牵头，对2025年毕业生实习情况进行了全面摸排，通过招就处及各二级学院访企拓岗，及时进行了调整岗位或重新推荐实习单位等工作，现学生工作对口率为70.49%，不对口率大大降低。三是招就处牵头制定了《工学一体化教师管理办法》《江苏省扬州技师学院企业导师管理细则》，建立健全班主任管理导师责任制和企业导师管理制度，在该管理办法中规范教师到企业参加实践活动的管理，有效利用社会资源，推进“双师”型师资队伍的建设，办法中明确了每日问题反馈机制，规定了教师必须在实地探访与现场指导，与学生及企业导师面对面交流，直接了解学生实习情况。召开学院顶岗实习推进会，要求二级学院按照个人信息“最小化原则”按节点准时报送在校生实习信息，主要包括学生基本信息、是实习课程信息、实习企业信息等内容。在会议中明确要求建立钉钉群、微信群等多元化沟通渠道，除了与学生电话和平台通讯外，还与企业相关管理人员建立了工作联络小组，便于教师、学生与企业三方之间保持日常交流，及时了解学生实习情况。招就处联合学工处、教务处进行了不定期的“四不两直”检查，各二级学院认真对照专项调研工作方案，全面梳理、排查学生和实习单位的状况，排查学生实习各环节可能存在的危害，围绕《职业学校学生实习管理规定》全面开展自查自纠。此外，根据检查、抽查等过程中反映的问题形成台账、进行排名，纳入每月二级学院考核及各二级学院年终考核指标项，不断提升实习效果。四是对实习学生进行全面跟踪排查，详细了解学生实习待遇及生活保障情况，及时了解学生在实习中遇到的困难和问题，并给予积极的帮助和指导，在全面排查中没有发现实习岗位不能满足最低工资标准或</w:t>
      </w:r>
      <w:bookmarkStart w:id="19" w:name="OLE_LINK32"/>
      <w:bookmarkStart w:id="20" w:name="OLE_LINK34"/>
      <w:r>
        <w:rPr>
          <w:rFonts w:hint="eastAsia" w:ascii="仿宋_GB2312" w:hAnsi="仿宋" w:eastAsia="仿宋_GB2312"/>
          <w:sz w:val="32"/>
          <w:szCs w:val="32"/>
        </w:rPr>
        <w:t>不包食宿等</w:t>
      </w:r>
      <w:bookmarkEnd w:id="19"/>
      <w:bookmarkEnd w:id="20"/>
      <w:r>
        <w:rPr>
          <w:rFonts w:hint="eastAsia" w:ascii="仿宋_GB2312" w:hAnsi="仿宋" w:eastAsia="仿宋_GB2312"/>
          <w:sz w:val="32"/>
          <w:szCs w:val="32"/>
        </w:rPr>
        <w:t>情况。实习期间的薪资待遇、住宿等相关事宜，均由学生与用人单位经协商达成一致意见。学院要求所有学生实习前必须签订正式的实习协议，明确双方的权利、义务及实习待遇等关键条款。在摸排学生实习情况中，对二级学院提供的三方实习协议原件和实习生提交的实习信息表进行核对，并电话抽查，对实习单位有变动的学生要求二级学院及时更新。招就处定期加强与顶岗学生和实习单位的互动交流，严格按照顶岗实习管理办法开展工作，做到了有计划、有安排、有指导、有回访、有检查、有考核，建立全流程实习跟踪机制，招就处及各二级学院分别赴扬州广菱电子、亚普汽车部件、宝胜电缆、亚威股份等企业进行跟踪管理，定期与实习单位、学生沟通，了解实习进展及待遇落实情况。招就处修订了《关于顶岗实习学生管理和考核的补充规定（讨论稿）》，规定中增加反馈与改进机制，根据实习待遇、岗位质量、学生满意度等多方面制定标准，进行考核，确保学生实习达到预期效果。</w:t>
      </w:r>
    </w:p>
    <w:p w14:paraId="2639BA35">
      <w:pPr>
        <w:spacing w:line="560" w:lineRule="exact"/>
        <w:ind w:left="643"/>
        <w:rPr>
          <w:rFonts w:ascii="楷体" w:hAnsi="楷体" w:eastAsia="楷体"/>
          <w:bCs/>
          <w:sz w:val="32"/>
          <w:szCs w:val="32"/>
        </w:rPr>
      </w:pPr>
      <w:bookmarkStart w:id="21" w:name="OLE_LINK5"/>
      <w:bookmarkStart w:id="22" w:name="OLE_LINK31"/>
      <w:r>
        <w:rPr>
          <w:rFonts w:hint="eastAsia" w:ascii="楷体" w:hAnsi="楷体" w:eastAsia="楷体"/>
          <w:sz w:val="32"/>
          <w:szCs w:val="32"/>
        </w:rPr>
        <w:t>（十一）</w:t>
      </w:r>
      <w:r>
        <w:rPr>
          <w:rFonts w:hint="eastAsia" w:ascii="楷体" w:hAnsi="楷体" w:eastAsia="楷体"/>
          <w:bCs/>
          <w:sz w:val="32"/>
          <w:szCs w:val="32"/>
        </w:rPr>
        <w:t>关于“学生心理健康教育工作形式化”问题的整改</w:t>
      </w:r>
    </w:p>
    <w:p w14:paraId="632C8D1C">
      <w:pPr>
        <w:spacing w:line="560" w:lineRule="exact"/>
        <w:ind w:firstLine="643" w:firstLineChars="200"/>
        <w:rPr>
          <w:rFonts w:ascii="仿宋_GB2312" w:hAnsi="仿宋" w:eastAsia="仿宋_GB2312" w:cs="Times New Roman"/>
          <w:sz w:val="32"/>
          <w:szCs w:val="32"/>
        </w:rPr>
      </w:pPr>
      <w:r>
        <w:rPr>
          <w:rFonts w:hint="eastAsia" w:ascii="仿宋_GB2312" w:hAnsi="仿宋" w:eastAsia="仿宋_GB2312"/>
          <w:b/>
          <w:sz w:val="32"/>
          <w:szCs w:val="32"/>
        </w:rPr>
        <w:t>整改落实情况及成效：</w:t>
      </w:r>
      <w:r>
        <w:rPr>
          <w:rFonts w:hint="eastAsia" w:ascii="仿宋_GB2312" w:hAnsi="仿宋" w:eastAsia="仿宋_GB2312" w:cs="Times New Roman"/>
          <w:sz w:val="32"/>
          <w:szCs w:val="32"/>
        </w:rPr>
        <w:t>一是已草拟《扬州技师学院学生心理危机预警及干预实施方案》，方案中明确了切实加强学生心理健康教育管理工作，有效解决影响学生健康成长过程中的突出问题。组建了校内“学院-心理中心-二级学院-班级”四级心理健康工作网络，形成了“学院学生心理健康教育工作领导小组→学生心理健康教育中心工作小组→各二级学院心理专员→班级班主任和心理委员”的心理危机干预网络体系。这个网络体系各司其职，各负其责，同时又通力协作，旨在及早预防学生心理问题的发生，及时疏导学生的不良情绪，有效干预心理危机的出现。通过全面覆盖的工作网络，力求减少或避免学生因心理问题而引发的伤害事件的发生，为学生的健康成长提供有力保障。</w:t>
      </w:r>
      <w:r>
        <w:rPr>
          <w:rFonts w:hint="eastAsia" w:ascii="仿宋_GB2312" w:hAnsi="仿宋" w:eastAsia="仿宋_GB2312" w:cs="Times New Roman"/>
          <w:bCs/>
          <w:sz w:val="32"/>
          <w:szCs w:val="32"/>
        </w:rPr>
        <w:t>2024年下半年秋学期起</w:t>
      </w:r>
      <w:r>
        <w:rPr>
          <w:rFonts w:hint="eastAsia" w:ascii="仿宋_GB2312" w:hAnsi="仿宋" w:eastAsia="仿宋_GB2312" w:cs="Times New Roman"/>
          <w:sz w:val="32"/>
          <w:szCs w:val="32"/>
        </w:rPr>
        <w:t>，开设第二课堂共26门，其中包括《身心疗愈—心理健康课程》、《园艺欣赏与美学实践》等涉及心理健康的课程，引导学生更加珍惜生命、热爱生活、发展自我。学院心理健康教育中心现有10名兼职心理健康老师，</w:t>
      </w:r>
      <w:r>
        <w:rPr>
          <w:rFonts w:hint="eastAsia" w:ascii="仿宋_GB2312" w:hAnsi="仿宋" w:eastAsia="仿宋_GB2312" w:cs="Times New Roman"/>
          <w:bCs/>
          <w:sz w:val="32"/>
          <w:szCs w:val="32"/>
        </w:rPr>
        <w:t xml:space="preserve"> 2025年11月</w:t>
      </w:r>
      <w:r>
        <w:rPr>
          <w:rFonts w:hint="eastAsia" w:ascii="仿宋_GB2312" w:hAnsi="仿宋" w:eastAsia="仿宋_GB2312" w:cs="Times New Roman"/>
          <w:sz w:val="32"/>
          <w:szCs w:val="32"/>
        </w:rPr>
        <w:t>将引进两位资深专职心理咨询师，进一步提高心理健康教育水平。二是借助智为心理平台，每年面向在校生开展心理健康测评全覆盖，指导学校科学规范运用测评结果，建立“一生一策”心理健康档案，全面掌握学生的心理状况现状。分批次对全院在籍学生进行了心理普测，针对普测结果存在不同程度心理健康问题的学生进行了二次测评。通过智为心理平台测评结果显示，部分学生纳入心理预警名单，并将这些预警名单同步交给二级学院，由班主任对学生进行第一时间的关怀，心理中心老师予以专业辅助。针对有过就医确诊心理疾病的学生和经评估后需要正规医院介入治疗的学生，要求班主任第一时间与家长联系，做好心理危机预警及干预工作。由于心理咨询私密性的特点，</w:t>
      </w:r>
      <w:r>
        <w:rPr>
          <w:rFonts w:hint="eastAsia" w:ascii="仿宋_GB2312" w:hAnsi="仿宋" w:eastAsia="仿宋_GB2312" w:cs="Times New Roman"/>
          <w:bCs/>
          <w:sz w:val="32"/>
          <w:szCs w:val="32"/>
        </w:rPr>
        <w:t>我院心理健康教育中心</w:t>
      </w:r>
      <w:r>
        <w:rPr>
          <w:rFonts w:hint="eastAsia" w:ascii="仿宋_GB2312" w:hAnsi="仿宋" w:eastAsia="仿宋_GB2312" w:cs="Times New Roman"/>
          <w:sz w:val="32"/>
          <w:szCs w:val="32"/>
        </w:rPr>
        <w:t>正式上线了“个体心理咨询预约”平台，通过该平台，学生可以自主线上预约心理咨询。充分发挥四级心理健康预警网络体系作用，要求班主任重点关注测评异项的同学在校学习、住宿、表现等情况，一旦发现问题，按预警体系逐级上报，及时介入。学院在新生第一年全面开设《心理健康和职业生涯》第一课堂，让学生了解心理健康知识，学会基本的心理健康调适。通过《心艺绽放社——用艺术开启心灵旅程》第二课堂，开展心理沙龙活动，帮助学生释放情感、缓解压力、增强自我认知与社交能力、提升心理健康水平。</w:t>
      </w:r>
      <w:r>
        <w:rPr>
          <w:rFonts w:hint="eastAsia" w:ascii="仿宋_GB2312" w:hAnsi="仿宋" w:eastAsia="仿宋_GB2312" w:cs="Times New Roman"/>
          <w:bCs/>
          <w:sz w:val="32"/>
          <w:szCs w:val="32"/>
        </w:rPr>
        <w:t>每年五月，</w:t>
      </w:r>
      <w:r>
        <w:rPr>
          <w:rFonts w:hint="eastAsia" w:ascii="仿宋_GB2312" w:hAnsi="仿宋" w:eastAsia="仿宋_GB2312" w:cs="Times New Roman"/>
          <w:sz w:val="32"/>
          <w:szCs w:val="32"/>
        </w:rPr>
        <w:t>借助“让心灵洒满阳光5 ·25 心理健康活动月”活动，组织全校师生开展了班级心理委员培训、校园心理情景剧比赛、心理健康主题班会暨黑板报评比、心理健康知识竞赛、心理涂鸦大赛、心理游园会等系列活动，提醒学生“关爱自我，了解自我，接纳自己，关注自己的心理健康和心灵成长，提高自身心理素质，进而爱别人，爱社会”。三是</w:t>
      </w:r>
      <w:r>
        <w:rPr>
          <w:rFonts w:hint="eastAsia" w:ascii="仿宋_GB2312" w:hAnsi="仿宋" w:eastAsia="仿宋_GB2312" w:cs="Times New Roman"/>
          <w:bCs/>
          <w:sz w:val="32"/>
          <w:szCs w:val="32"/>
        </w:rPr>
        <w:t>在2025年春学期，组织全校2024级学生共60个班级</w:t>
      </w:r>
      <w:r>
        <w:rPr>
          <w:rFonts w:hint="eastAsia" w:ascii="仿宋_GB2312" w:hAnsi="仿宋" w:eastAsia="仿宋_GB2312" w:cs="Times New Roman"/>
          <w:sz w:val="32"/>
          <w:szCs w:val="32"/>
        </w:rPr>
        <w:t>的《心理健康与职业生涯》课堂教学，分院部、分时间段安排在心理健康教育中心心理团辅室授课，每班一学期不少于2次团辅授课。基础部统筹规划并制定了各功能室开放细则。按照每周一院部、两下午，将心理功能室中的音乐放松室、沙盘游戏室、情绪宣泄室对院部学生开放。重点加大单个咨询途径的宣传和推广工作，发挥各二级学院（部）网络体系作用，由各班组织召开主题班会，讲解操作智为心理平台预约及各项功能，便于学生自行操作预约；在充分征求学生意见、自愿进行单个咨询的前提下，根据基础部所排好各院部咨询时间、心理老师咨询值班表等，各二级学院（部）组织各班班主任帮忙申请预约，重点针对测评结果有异项的同学，每班每学期不少于2人次进行个体咨询；各二级学院积极配合大学生心理健康教育中心，认真组织开展专题教育，提升学院心理健康教育水平，促进学生健康成长；加大了宣传和推广力度，在人流密集处，比如食堂、心理中心、教学楼下、公告栏等地方，张贴校内心理辅导中心热线海报（心理老师电话、QQ等联系方式），并将海报电子档转发各班级群、家长群，扩大知晓面。</w:t>
      </w:r>
    </w:p>
    <w:bookmarkEnd w:id="21"/>
    <w:bookmarkEnd w:id="22"/>
    <w:p w14:paraId="29A1B14D">
      <w:pPr>
        <w:spacing w:line="560" w:lineRule="exact"/>
        <w:ind w:firstLine="640" w:firstLineChars="200"/>
        <w:rPr>
          <w:rFonts w:ascii="楷体" w:hAnsi="楷体" w:eastAsia="楷体"/>
          <w:bCs/>
          <w:sz w:val="32"/>
          <w:szCs w:val="32"/>
        </w:rPr>
      </w:pPr>
      <w:r>
        <w:rPr>
          <w:rFonts w:hint="eastAsia" w:ascii="楷体" w:hAnsi="楷体" w:eastAsia="楷体"/>
          <w:bCs/>
          <w:sz w:val="32"/>
          <w:szCs w:val="32"/>
        </w:rPr>
        <w:t>（十二）关于“运行机制不够完善”问题的整改</w:t>
      </w:r>
    </w:p>
    <w:p w14:paraId="7E37328A">
      <w:pPr>
        <w:spacing w:line="560" w:lineRule="exact"/>
        <w:ind w:firstLine="643" w:firstLineChars="200"/>
        <w:rPr>
          <w:rFonts w:ascii="楷体" w:hAnsi="楷体" w:eastAsia="楷体"/>
          <w:bCs/>
          <w:sz w:val="32"/>
          <w:szCs w:val="32"/>
          <w:u w:val="single"/>
        </w:rPr>
      </w:pPr>
      <w:r>
        <w:rPr>
          <w:rFonts w:hint="eastAsia" w:ascii="仿宋_GB2312" w:hAnsi="仿宋" w:eastAsia="仿宋_GB2312"/>
          <w:b/>
          <w:sz w:val="32"/>
          <w:szCs w:val="32"/>
        </w:rPr>
        <w:t>整改落实情况及成效：</w:t>
      </w:r>
      <w:r>
        <w:rPr>
          <w:rFonts w:hint="eastAsia" w:ascii="仿宋_GB2312" w:hAnsi="仿宋" w:eastAsia="仿宋_GB2312"/>
          <w:sz w:val="32"/>
          <w:szCs w:val="32"/>
        </w:rPr>
        <w:t>一是已完成学院“三重一大”议事规则、“三重一大”主要事项议事流程讨论稿，已经完成党委会和校长办公会议事规则修订讨论稿，并将技能大赛参赛项目的确定、资金的安排等纳入“三重一大”议事事项。进一步规范了学院党委会、校长办公会上会议题，办公室会前认真搜集议题及资料，确保议题材料内容完整，主题内容审查严格。二是已在校长办公会中学习《高等学校章程制定暂行办法》《中华人民共和国高等教育法》《中华人民共和国职业教育法》等上位法，</w:t>
      </w:r>
      <w:bookmarkStart w:id="23" w:name="OLE_LINK6"/>
      <w:bookmarkStart w:id="24" w:name="OLE_LINK14"/>
      <w:r>
        <w:rPr>
          <w:rFonts w:hint="eastAsia" w:ascii="仿宋_GB2312" w:hAnsi="仿宋" w:eastAsia="仿宋_GB2312"/>
          <w:sz w:val="32"/>
          <w:szCs w:val="32"/>
        </w:rPr>
        <w:t>并赴扬州大学、扬州市职业大学、江苏旅游职业学院等学校考察学习章程建设工作。</w:t>
      </w:r>
      <w:bookmarkEnd w:id="23"/>
      <w:bookmarkEnd w:id="24"/>
      <w:r>
        <w:rPr>
          <w:rFonts w:hint="eastAsia" w:ascii="仿宋_GB2312" w:hAnsi="仿宋" w:eastAsia="仿宋_GB2312"/>
          <w:sz w:val="32"/>
          <w:szCs w:val="32"/>
        </w:rPr>
        <w:t>已成立学院内部审计委员会，并制定了内部审计工作规定讨论稿。学术委员会作为学术评议与审核的机构，其主要职能与学院实际情况不匹配；其学科建设的职能由学院教学委员会代理。《江苏省扬州技师学院二级学院专业建设指导委员会实施方案》已发布实施；各二级学院已成立专业建设指导委员会。学生工作指导委员会成员已调整完毕。教代会严格代表选举，选举出的代表能够代表教职工利益、有责任心和有参政议政能力。对教代会代表进行定期培训，提高其政治素质、业务能力和履职水平。培训内容包括政策法规、民主管理、沟通技巧、提案撰写等方面，使代表能够更好地履行职责，为教职工发声。</w:t>
      </w:r>
    </w:p>
    <w:p w14:paraId="1DA39FA1">
      <w:pPr>
        <w:spacing w:line="560" w:lineRule="exact"/>
        <w:ind w:firstLine="640" w:firstLineChars="200"/>
        <w:rPr>
          <w:rFonts w:ascii="楷体" w:hAnsi="楷体" w:eastAsia="楷体"/>
          <w:bCs/>
          <w:sz w:val="32"/>
          <w:szCs w:val="32"/>
        </w:rPr>
      </w:pPr>
      <w:r>
        <w:rPr>
          <w:rFonts w:hint="eastAsia" w:ascii="楷体" w:hAnsi="楷体" w:eastAsia="楷体"/>
          <w:bCs/>
          <w:sz w:val="32"/>
          <w:szCs w:val="32"/>
        </w:rPr>
        <w:t>（十三）关于“部分工作缺乏统筹考虑和制度约束”</w:t>
      </w:r>
      <w:bookmarkStart w:id="25" w:name="OLE_LINK16"/>
      <w:bookmarkStart w:id="26" w:name="OLE_LINK15"/>
      <w:r>
        <w:rPr>
          <w:rFonts w:hint="eastAsia" w:ascii="楷体" w:hAnsi="楷体" w:eastAsia="楷体"/>
          <w:bCs/>
          <w:sz w:val="32"/>
          <w:szCs w:val="32"/>
        </w:rPr>
        <w:t>问题的整改</w:t>
      </w:r>
    </w:p>
    <w:p w14:paraId="6AE86917">
      <w:pPr>
        <w:spacing w:line="560" w:lineRule="exact"/>
        <w:ind w:firstLine="643" w:firstLineChars="200"/>
        <w:rPr>
          <w:rFonts w:ascii="仿宋_GB2312" w:hAnsi="仿宋" w:eastAsia="仿宋_GB2312"/>
          <w:sz w:val="32"/>
          <w:szCs w:val="32"/>
        </w:rPr>
      </w:pPr>
      <w:bookmarkStart w:id="27" w:name="OLE_LINK33"/>
      <w:r>
        <w:rPr>
          <w:rFonts w:hint="eastAsia" w:ascii="仿宋_GB2312" w:hAnsi="仿宋" w:eastAsia="仿宋_GB2312"/>
          <w:b/>
          <w:sz w:val="32"/>
          <w:szCs w:val="32"/>
        </w:rPr>
        <w:t>整改落实情况及成效：</w:t>
      </w:r>
      <w:bookmarkEnd w:id="25"/>
      <w:bookmarkEnd w:id="26"/>
      <w:bookmarkEnd w:id="27"/>
      <w:r>
        <w:rPr>
          <w:rFonts w:hint="eastAsia" w:ascii="仿宋_GB2312" w:hAnsi="仿宋" w:eastAsia="仿宋_GB2312"/>
          <w:sz w:val="32"/>
          <w:szCs w:val="32"/>
        </w:rPr>
        <w:t>一是学院实训处牵头修订了《江苏省扬州技师学院技能竞赛奖励办法》，严格按照奖励办法执行，由各个二级学院按劳分配后，党政负责人签字并公示后申报审批，杜绝因分配情况引起矛盾。二是学院及时公布、印发《江苏省扬州技师学院劳务薪酬发放管理办法（试行）》，并组织相关部门进行政策学习，加强发放标准审批和发放流程的管理。组织业务学习，加强了上级主管部门和学院劳务费发放文件的学习，进一步规范发放要求。三是严格执行《江苏省扬州技师学院招生工作管理办法》，组织召开招生工作专题会议，详细解读招生政策和经费使用管理办法。通过宣讲等方式，进一步明确经费“包干”范围，规范了招生经费使用制度。四是优化学院公务接待登记台账制度，办公室与纪委办公室同时备案，严格按照《学院贯彻落实中央八项规定精神及实施细则的实施办法》，以实际就餐人数和标准安排就餐和接待，据实填写接待清单，并作为财务报销凭证接受审计。制定了公务接待正负面清单，同时加强制度的解读和宣讲工作。</w:t>
      </w:r>
    </w:p>
    <w:p w14:paraId="5F7D735E">
      <w:pPr>
        <w:spacing w:line="560" w:lineRule="exact"/>
        <w:ind w:firstLine="640" w:firstLineChars="200"/>
        <w:rPr>
          <w:rFonts w:ascii="楷体" w:hAnsi="楷体" w:eastAsia="楷体"/>
          <w:bCs/>
          <w:sz w:val="32"/>
          <w:szCs w:val="32"/>
        </w:rPr>
      </w:pPr>
      <w:r>
        <w:rPr>
          <w:rFonts w:hint="eastAsia" w:ascii="楷体" w:hAnsi="楷体" w:eastAsia="楷体"/>
          <w:bCs/>
          <w:sz w:val="32"/>
          <w:szCs w:val="32"/>
        </w:rPr>
        <w:t>（十四）关于“财务基础工作不扎实”</w:t>
      </w:r>
      <w:bookmarkStart w:id="28" w:name="OLE_LINK18"/>
      <w:bookmarkStart w:id="29" w:name="OLE_LINK17"/>
      <w:r>
        <w:rPr>
          <w:rFonts w:hint="eastAsia" w:ascii="楷体" w:hAnsi="楷体" w:eastAsia="楷体"/>
          <w:bCs/>
          <w:sz w:val="32"/>
          <w:szCs w:val="32"/>
        </w:rPr>
        <w:t>问题的整改</w:t>
      </w:r>
    </w:p>
    <w:p w14:paraId="7786A5E9">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整改落实情况及成效：</w:t>
      </w:r>
      <w:r>
        <w:rPr>
          <w:rFonts w:hint="eastAsia" w:ascii="仿宋_GB2312" w:hAnsi="仿宋" w:eastAsia="仿宋_GB2312"/>
          <w:sz w:val="32"/>
          <w:szCs w:val="32"/>
        </w:rPr>
        <w:t>一是</w:t>
      </w:r>
      <w:bookmarkEnd w:id="28"/>
      <w:bookmarkEnd w:id="29"/>
      <w:r>
        <w:rPr>
          <w:rFonts w:hint="eastAsia" w:ascii="仿宋_GB2312" w:hAnsi="仿宋" w:eastAsia="仿宋_GB2312"/>
          <w:sz w:val="32"/>
          <w:szCs w:val="32"/>
        </w:rPr>
        <w:t>财务处根据问题反馈，召开专题会议推进整改工作，调整部分账务登记问题，并建立财务工作人员定期学习的机制，规定每个月财务处内部组织一次业务学习活动，并按照要求每年完成线上培训规定的学时，进一步加强业务人员能力提升培训，规范财务支出和记账，加强财务支出票据的审核，严格按照规定完成财务记账工作。结合财务信息化建设现状，财务处人员先后调研扬州工业职业技术学院、盐城技师学院等兄弟院校信息化建设情况，提出建设智慧财务管理系统，并分步实施。初步引入智能报账、移动数据查询等模块，为师生的经费审批和报销提供便捷。二是查阅近几年工会支出审批等相关票据，完成补充经办及审批签章凭证。完善固定资产、无形资产摊销经办及审批流程，并完成2024年度每月折旧、摊销材料整改，增加审批签字环节。强化内部管理制度，加强经办及财务人员的专业培训，明确各项支出的审批流程与责任分工，确保每一笔支出都有据可查。建立定期审查机制，每个季度对工会经费有关业务进行审查，每年对工会财务进行审计。</w:t>
      </w:r>
    </w:p>
    <w:p w14:paraId="107A49D2">
      <w:pPr>
        <w:spacing w:line="560" w:lineRule="exact"/>
        <w:ind w:left="640"/>
        <w:rPr>
          <w:rFonts w:ascii="楷体" w:hAnsi="楷体" w:eastAsia="楷体"/>
          <w:bCs/>
          <w:sz w:val="32"/>
          <w:szCs w:val="32"/>
        </w:rPr>
      </w:pPr>
      <w:r>
        <w:rPr>
          <w:rFonts w:hint="eastAsia" w:ascii="楷体" w:hAnsi="楷体" w:eastAsia="楷体"/>
          <w:bCs/>
          <w:sz w:val="32"/>
          <w:szCs w:val="32"/>
        </w:rPr>
        <w:t>（十五）关于“资产管理工作基础较差”</w:t>
      </w:r>
      <w:bookmarkStart w:id="30" w:name="OLE_LINK20"/>
      <w:bookmarkStart w:id="31" w:name="OLE_LINK19"/>
      <w:r>
        <w:rPr>
          <w:rFonts w:hint="eastAsia" w:ascii="楷体" w:hAnsi="楷体" w:eastAsia="楷体"/>
          <w:bCs/>
          <w:sz w:val="32"/>
          <w:szCs w:val="32"/>
        </w:rPr>
        <w:t>问题的整改</w:t>
      </w:r>
    </w:p>
    <w:p w14:paraId="52AF2D4A">
      <w:pPr>
        <w:spacing w:line="560" w:lineRule="exact"/>
        <w:ind w:firstLine="643" w:firstLineChars="200"/>
        <w:rPr>
          <w:rFonts w:ascii="仿宋_GB2312" w:hAnsi="仿宋" w:eastAsia="仿宋_GB2312"/>
          <w:sz w:val="32"/>
          <w:szCs w:val="32"/>
          <w:u w:val="single"/>
        </w:rPr>
      </w:pPr>
      <w:r>
        <w:rPr>
          <w:rFonts w:hint="eastAsia" w:ascii="仿宋_GB2312" w:hAnsi="仿宋" w:eastAsia="仿宋_GB2312"/>
          <w:b/>
          <w:sz w:val="32"/>
          <w:szCs w:val="32"/>
        </w:rPr>
        <w:t>整改落实情况及成效：</w:t>
      </w:r>
      <w:bookmarkEnd w:id="30"/>
      <w:bookmarkEnd w:id="31"/>
      <w:r>
        <w:rPr>
          <w:rFonts w:hint="eastAsia" w:ascii="仿宋_GB2312" w:hAnsi="仿宋" w:eastAsia="仿宋_GB2312"/>
          <w:sz w:val="32"/>
          <w:szCs w:val="32"/>
        </w:rPr>
        <w:t>学院财务处国资科、交通工程学院等相关部门资产管理员及时核查交通工程学院实训车辆的资产，并通过学院资产管理员身份，已在学院固定资产台账中查明实训车辆的资产编码、记账凭证等入账信息，并已更改为实际存放地点。结合资产管理的现状，学院制定出台《江苏省扬州技师学院固定资产管理办法》，并严格执行。学院召开专题会议推进固定资产盘查工作，进一步明确各部门资产管理中的职责，要求定期开展固定资产清查工作，确保账卡物一致；积极推进资产盘活利用，提高国有资产使用效率。</w:t>
      </w:r>
    </w:p>
    <w:p w14:paraId="1C98364D">
      <w:pPr>
        <w:spacing w:line="560" w:lineRule="exact"/>
        <w:ind w:left="640"/>
        <w:rPr>
          <w:rFonts w:ascii="楷体" w:hAnsi="楷体" w:eastAsia="楷体"/>
          <w:bCs/>
          <w:sz w:val="32"/>
          <w:szCs w:val="32"/>
        </w:rPr>
      </w:pPr>
      <w:r>
        <w:rPr>
          <w:rFonts w:hint="eastAsia" w:ascii="楷体" w:hAnsi="楷体" w:eastAsia="楷体"/>
          <w:bCs/>
          <w:sz w:val="32"/>
          <w:szCs w:val="32"/>
        </w:rPr>
        <w:t>（十六）关于“对外包服务质量把关不严”问题的整改</w:t>
      </w:r>
    </w:p>
    <w:p w14:paraId="354F7E57">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整改落实情况及成效：</w:t>
      </w:r>
      <w:r>
        <w:rPr>
          <w:rFonts w:hint="eastAsia" w:ascii="仿宋_GB2312" w:hAnsi="仿宋" w:eastAsia="仿宋_GB2312"/>
          <w:sz w:val="32"/>
          <w:szCs w:val="32"/>
        </w:rPr>
        <w:t>一是重新梳理监管职责，明确专人负责食堂监管工作。设立监管岗位责任制，每个监管环节均指定责任人，确保事事有人管、人人有专责。建立了监管工作台账，详细记录每日巡查情况、问题处理结果等信息，实现监管工作的可追溯。优化考评内容，从基础设施、伙食质量、安全卫生、服务质量、内部管理等多个方面优化食堂考核细则。每月召开学生食堂经营考核会议，食堂考评小组由后勤部门负责人担任组长，成员涵盖食品安全专家、学生代表等。对食堂的考评结果需经考评小组全体成员签字确认，杜绝考评结果无负责人签字的情况。二是进一步丰富学生食堂饭菜品类供应，优化了供应商，不断提高饭菜质量，同时严格依据食材成本合理制定售价。后保处依据食品安全法律法规加强了食品加工制作过程监督，杜绝隔夜食材再次使用。定期开展学生食堂满意度调查，及时对反馈进行分类整理、深入分析，针对菜品口味、食材新鲜度、食堂环境、服务态度等不同方面的问题，点对点地采取改进措施，并将处理结果以公告形式在相关窗口公布，及时回应学生的关切，让学生切实看到学院为提升食堂服务质量所做出的努力。三是后保处加强对校内超市及其他经营商户的日常巡查力度，督促校内经营户所有商品明码标价。在超市等经营场所公布了市场监管部门商品价格、质量举报电话。后保处每月对比超市商品价格，若价格偏高约谈经营户并限期整改，整改不及时、不到位按合同约定扣除保证金。</w:t>
      </w:r>
    </w:p>
    <w:p w14:paraId="11DCC738">
      <w:pPr>
        <w:spacing w:line="560" w:lineRule="exact"/>
        <w:ind w:firstLine="640" w:firstLineChars="200"/>
        <w:rPr>
          <w:rFonts w:ascii="楷体" w:hAnsi="楷体" w:eastAsia="楷体"/>
          <w:bCs/>
          <w:sz w:val="32"/>
          <w:szCs w:val="32"/>
        </w:rPr>
      </w:pPr>
      <w:r>
        <w:rPr>
          <w:rFonts w:hint="eastAsia" w:ascii="楷体" w:hAnsi="楷体" w:eastAsia="楷体"/>
          <w:bCs/>
          <w:sz w:val="32"/>
          <w:szCs w:val="32"/>
        </w:rPr>
        <w:t>（十七）关于“全面从严治党主体责任压力传导不够”问题的整改</w:t>
      </w:r>
    </w:p>
    <w:p w14:paraId="237DF771">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整改落实情况及成效：</w:t>
      </w:r>
      <w:r>
        <w:rPr>
          <w:rFonts w:hint="eastAsia" w:ascii="仿宋_GB2312" w:hAnsi="仿宋" w:eastAsia="仿宋_GB2312"/>
          <w:sz w:val="32"/>
          <w:szCs w:val="32"/>
        </w:rPr>
        <w:t>一是加强院党委班子自身建设，把党风廉政建设和业务工作同谋划、同部署、同落实、同考核。在2025年全面从严治党会议中，明确提出“要在加强党委班子成员自身建设”上有突破并提出具体要求。紧紧围绕学院年度目标，定期召开如巡察整改、技能大赛推进等工作会议，汇报相关工作进展情况，不断进行压力传导。强化日常督导与动态跟踪。学院组织部设立党建工作督导小组，定期对基层党组织开展全覆盖检查，检查内容包括“三会一课”开展情况、党员发展流程、党建活动组织成效等。建立健全每月重点工作督查制度，有力协助基层党组织落实、检查党风廉政建设等各项任务，做实做细日常监督。二是根据学院党委书记、领导班子成员、党总支书记各自职责，修改完善了全面从严治党责任书内容，细化分解了各自的责任，增加了共同责任内容，并明确考核要求，将各党总支全面从严治党履职情况融入学院年终党建考核内容中，与党建工作同步进行量化考核。2025年，学院已将思想政治教育与师德师风建设纳入党风廉政责任清单。同时充分发挥党风廉政考核的激励与约束作用，将考核结果与绩效奖金、评先评优、职务晋升等直接挂钩。</w:t>
      </w:r>
    </w:p>
    <w:p w14:paraId="0611303D">
      <w:pPr>
        <w:spacing w:line="560" w:lineRule="exact"/>
        <w:ind w:left="640"/>
        <w:rPr>
          <w:rFonts w:ascii="楷体" w:hAnsi="楷体" w:eastAsia="楷体"/>
          <w:bCs/>
          <w:sz w:val="32"/>
          <w:szCs w:val="32"/>
        </w:rPr>
      </w:pPr>
      <w:r>
        <w:rPr>
          <w:rFonts w:hint="eastAsia" w:ascii="楷体" w:hAnsi="楷体" w:eastAsia="楷体"/>
          <w:bCs/>
          <w:sz w:val="32"/>
          <w:szCs w:val="32"/>
        </w:rPr>
        <w:t>（十八）关于“工作作风需要持续改进”</w:t>
      </w:r>
      <w:bookmarkStart w:id="32" w:name="OLE_LINK22"/>
      <w:bookmarkStart w:id="33" w:name="OLE_LINK21"/>
      <w:r>
        <w:rPr>
          <w:rFonts w:hint="eastAsia" w:ascii="楷体" w:hAnsi="楷体" w:eastAsia="楷体"/>
          <w:bCs/>
          <w:sz w:val="32"/>
          <w:szCs w:val="32"/>
        </w:rPr>
        <w:t>问题的整改</w:t>
      </w:r>
    </w:p>
    <w:p w14:paraId="22A1E966">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整改落实情况及成效：</w:t>
      </w:r>
      <w:r>
        <w:rPr>
          <w:rFonts w:hint="eastAsia" w:ascii="仿宋_GB2312" w:hAnsi="仿宋" w:eastAsia="仿宋_GB2312"/>
          <w:sz w:val="32"/>
          <w:szCs w:val="32"/>
        </w:rPr>
        <w:t>一是</w:t>
      </w:r>
      <w:bookmarkEnd w:id="32"/>
      <w:bookmarkEnd w:id="33"/>
      <w:r>
        <w:rPr>
          <w:rFonts w:hint="eastAsia" w:ascii="仿宋_GB2312" w:hAnsi="仿宋" w:eastAsia="仿宋_GB2312"/>
          <w:sz w:val="32"/>
          <w:szCs w:val="32"/>
        </w:rPr>
        <w:t>学院党委召开全面从严治党暨党风廉政建设工作会议，坚决落实全面从严治党战略方针，用改革精神和严的标准进一步推进学院全面从严治党。会议强调，要强化作风建设，营造风清气正的干事创业氛围。修订完善了学院《关于加强作风建设监督检查暂行办法》，经学院纪委会讨论通过。发挥互联网的强大宣教作用，持续利用学院纪检网站及各类工作群开展宣教工作，并在春节、中秋、国庆等重要时节和招生季、毕业季等重点时期加强监督提醒，提升党员干部的自律意识、廉洁意识等。二是严格落实《学院党委领导班子成员和正科以上（含正科）党员干部开展调查研究工作实施方案》，强化宗旨意识，坚持以人民为中心的发展思想，深入开展“我为师生办实事”活动，认真落实校领导每周二接待日、校领导陪餐等制度，召开了三届二次教职工代表大会、工会会员代表大会，听取广大教职员工对学院工作实施过程中的意见和要求，更好促进学院发展。涉及教育强省、人才强校等重大课题，领导班子成员领题开展调研，形成课题、调研报告等，通过召开教代会等，将改革思维贯穿工作始终。认真贯彻落实深化运用“四下基层”的实践要求，制定实施了学院层面“四下基层”工作制度。通过党委理论中心组的学习，把学习和践行“四下基层”制度同学深悟透习近平新时代中国特色社会主义思想结合起来，同深入学习贯彻党的二十届三中全会精神结合起来，同学习贯彻习近平总书记关于教育的重要论述以及对视察江苏及扬州重要讲话重要指示精神结合起来，不断强化政治意识。扎实开展好深入贯彻中央八项规定精神学习教育，按照学习研讨、查摆问题、集中整治、开门教育的工作安排，将开展学习教育同贯彻落实党中央重大决策部署结合起来，同深入推进党风廉政建设和反腐败斗争结合起来。三是完成学院综合素质评价平台系统的一期开发，2024年11月底已投入试运行，简化了学生管理工作办事流程。建成学生一站式服务大厅，紧紧围绕服务学生成长成才、解决学生困难、方便学生办事、维护学生权益的目标，服务项目涵盖学生管理、团学指导、学籍管理、财务服务、后勤服务与咨询等，服务类型包括申请、咨询、投诉、建议，进一步增强了服务师生的意识。制定了符合学院实际的《社会事务进校园负面清单》。</w:t>
      </w:r>
    </w:p>
    <w:p w14:paraId="6D3C9C81">
      <w:pPr>
        <w:spacing w:line="560" w:lineRule="exact"/>
        <w:ind w:firstLine="640" w:firstLineChars="200"/>
        <w:rPr>
          <w:rFonts w:ascii="楷体" w:hAnsi="楷体" w:eastAsia="楷体"/>
          <w:bCs/>
          <w:sz w:val="32"/>
          <w:szCs w:val="32"/>
        </w:rPr>
      </w:pPr>
      <w:r>
        <w:rPr>
          <w:rFonts w:hint="eastAsia" w:ascii="楷体" w:hAnsi="楷体" w:eastAsia="楷体"/>
          <w:bCs/>
          <w:sz w:val="32"/>
          <w:szCs w:val="32"/>
        </w:rPr>
        <w:t>（十九）关于“纪委监督执纪问责履职不到位”</w:t>
      </w:r>
      <w:bookmarkStart w:id="34" w:name="OLE_LINK24"/>
      <w:bookmarkStart w:id="35" w:name="OLE_LINK23"/>
      <w:r>
        <w:rPr>
          <w:rFonts w:hint="eastAsia" w:ascii="楷体" w:hAnsi="楷体" w:eastAsia="楷体"/>
          <w:bCs/>
          <w:sz w:val="32"/>
          <w:szCs w:val="32"/>
        </w:rPr>
        <w:t>问题的整改</w:t>
      </w:r>
    </w:p>
    <w:p w14:paraId="4A196A54">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整改落实情况及成效：</w:t>
      </w:r>
      <w:r>
        <w:rPr>
          <w:rFonts w:hint="eastAsia" w:ascii="仿宋_GB2312" w:hAnsi="仿宋" w:eastAsia="仿宋_GB2312"/>
          <w:sz w:val="32"/>
          <w:szCs w:val="32"/>
        </w:rPr>
        <w:t>一是</w:t>
      </w:r>
      <w:bookmarkEnd w:id="34"/>
      <w:bookmarkEnd w:id="35"/>
      <w:r>
        <w:rPr>
          <w:rFonts w:hint="eastAsia" w:ascii="仿宋_GB2312" w:hAnsi="仿宋" w:eastAsia="仿宋_GB2312"/>
          <w:sz w:val="32"/>
          <w:szCs w:val="32"/>
        </w:rPr>
        <w:t>制定了学院接诉即办的工作办法，坚持运用有效的手段高效解决信访问题。成立学院安全维稳工作专班，每月召开一次分析研判会，力求提升预判能力，同时将问题发现和处置在萌芽状态。院纪委对学院纪检网站进行了改版升级。在保留学院原有投诉电话、邮箱基础上，增加了省、市纪委监委纪检监察举报平台，进一步拓宽了信访渠道。利用每月20日“党员活动日”，纪委召开扩大会加强对纪委委员、纪检委员的业务培训与指导，充分发挥纪检委员的“哨兵”“探头”作用，着力提升纪检干部发现问题和解决问题的能力。院纪委联合院组织部、宣传部开展了党建和意识形态工作“小切口”专项督查，通过督查发现存在党建阵地建设不完善、支部建设存在短板等5个问题，挖掘4个特色亮点做法，</w:t>
      </w:r>
      <w:r>
        <w:rPr>
          <w:rFonts w:hint="eastAsia" w:ascii="仿宋_GB2312" w:hAnsi="仿宋" w:eastAsia="仿宋_GB2312" w:cs="宋体"/>
          <w:kern w:val="0"/>
          <w:sz w:val="32"/>
          <w:szCs w:val="32"/>
        </w:rPr>
        <w:t>巩固了学院各党总支（党支部）标准化规范化建设成果，推进了党建和意识形态工作发展。</w:t>
      </w:r>
      <w:r>
        <w:rPr>
          <w:rFonts w:hint="eastAsia" w:ascii="仿宋_GB2312" w:hAnsi="仿宋" w:eastAsia="仿宋_GB2312"/>
          <w:sz w:val="32"/>
          <w:szCs w:val="32"/>
        </w:rPr>
        <w:t>二是通过强化对《中国共产党纪律处分条例》《关于常态化制度化套餐化推动“一案一警示”的实施细则》等相关规章制度的学习，提升党员干部、公职人员的纪律意识和规矩意识。利用纪委学习日开展业务知识学习与培训，集中观看了业务培训短视频《基层党支部纪检委员如何履行监督职责》、</w:t>
      </w:r>
      <w:r>
        <w:rPr>
          <w:rFonts w:hint="eastAsia" w:ascii="仿宋_GB2312" w:hAnsi="仿宋" w:eastAsia="仿宋_GB2312"/>
          <w:sz w:val="32"/>
          <w:szCs w:val="32"/>
          <w:shd w:val="clear" w:color="auto" w:fill="FFFFFF"/>
        </w:rPr>
        <w:t>警示教育片《八小时之外》</w:t>
      </w:r>
      <w:r>
        <w:rPr>
          <w:rFonts w:hint="eastAsia" w:ascii="仿宋_GB2312" w:hAnsi="仿宋" w:eastAsia="仿宋_GB2312"/>
          <w:sz w:val="32"/>
          <w:szCs w:val="32"/>
        </w:rPr>
        <w:t>，</w:t>
      </w:r>
      <w:r>
        <w:rPr>
          <w:rFonts w:hint="eastAsia" w:ascii="仿宋_GB2312" w:hAnsi="仿宋" w:eastAsia="仿宋_GB2312"/>
          <w:sz w:val="32"/>
          <w:szCs w:val="32"/>
          <w:shd w:val="clear" w:color="auto" w:fill="FFFFFF"/>
        </w:rPr>
        <w:t>选取了“接受逢年过节感情投资行为如何定性”</w:t>
      </w:r>
      <w:r>
        <w:rPr>
          <w:rFonts w:hint="eastAsia" w:ascii="仿宋_GB2312" w:hAnsi="仿宋" w:eastAsia="仿宋_GB2312" w:cs="宋体"/>
          <w:kern w:val="0"/>
          <w:sz w:val="32"/>
          <w:szCs w:val="32"/>
        </w:rPr>
        <w:t>“招投标中‘明招暗定’行为如何处理”</w:t>
      </w:r>
      <w:r>
        <w:rPr>
          <w:rFonts w:hint="eastAsia" w:ascii="仿宋_GB2312" w:hAnsi="仿宋" w:eastAsia="仿宋_GB2312"/>
          <w:sz w:val="32"/>
          <w:szCs w:val="32"/>
        </w:rPr>
        <w:t>以及围绕节日期间“违规收送礼品、礼金问题监督执纪”“违规吃喝问题监督执纪”等典型案例进行剖析、释纪释法。同时组织专职纪检干部积极参加上级纪委监委开展的监督办案、笔录制作、信访举报内网平台使用等各类业务培训，不断提升纪检干部的执纪能力。</w:t>
      </w:r>
    </w:p>
    <w:p w14:paraId="48EA7F48">
      <w:pPr>
        <w:spacing w:line="560" w:lineRule="exact"/>
        <w:ind w:firstLine="640" w:firstLineChars="200"/>
        <w:rPr>
          <w:rFonts w:ascii="楷体" w:hAnsi="楷体" w:eastAsia="楷体"/>
          <w:bCs/>
          <w:sz w:val="32"/>
          <w:szCs w:val="32"/>
        </w:rPr>
      </w:pPr>
      <w:r>
        <w:rPr>
          <w:rFonts w:hint="eastAsia" w:ascii="楷体" w:hAnsi="楷体" w:eastAsia="楷体"/>
          <w:bCs/>
          <w:sz w:val="32"/>
          <w:szCs w:val="32"/>
        </w:rPr>
        <w:t>（二十）关于“选人用人程序不够规范”</w:t>
      </w:r>
      <w:bookmarkStart w:id="36" w:name="OLE_LINK25"/>
      <w:bookmarkStart w:id="37" w:name="OLE_LINK26"/>
      <w:r>
        <w:rPr>
          <w:rFonts w:hint="eastAsia" w:ascii="楷体" w:hAnsi="楷体" w:eastAsia="楷体"/>
          <w:bCs/>
          <w:sz w:val="32"/>
          <w:szCs w:val="32"/>
        </w:rPr>
        <w:t>问题的整改</w:t>
      </w:r>
    </w:p>
    <w:p w14:paraId="143FE3DF">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整改落实情况及成效：</w:t>
      </w:r>
      <w:r>
        <w:rPr>
          <w:rFonts w:hint="eastAsia" w:ascii="仿宋_GB2312" w:hAnsi="仿宋" w:eastAsia="仿宋_GB2312"/>
          <w:sz w:val="32"/>
          <w:szCs w:val="32"/>
        </w:rPr>
        <w:t>一是</w:t>
      </w:r>
      <w:bookmarkEnd w:id="36"/>
      <w:bookmarkEnd w:id="37"/>
      <w:r>
        <w:rPr>
          <w:rFonts w:hint="eastAsia" w:ascii="仿宋_GB2312" w:hAnsi="仿宋" w:eastAsia="仿宋_GB2312"/>
          <w:sz w:val="32"/>
          <w:szCs w:val="32"/>
        </w:rPr>
        <w:t>为加强学院干部队伍建设和党风廉政建设，推进干部多岗位锻炼，促进干部合理流动，提高干部整体素质和工作能力，结合我院实际，制定了《江苏省扬州技师学院中层干部轮岗交流实施办法》。学院组织部根据实施办法有计划性、针对性地分析在职干部任职情况，提出干部轮岗交流的初步方案，统筹做好干部补充调整、干部培养使用等工作。为进一步加强优秀年轻干部培养，推进干部队伍年轻化建设，拓宽年轻干部培养锻炼的渠道,加强二级学院与行政部门之间的交流沟通，为优秀年轻人才搭建更加有效的锻炼平台,为学校事业发展储备一批德才兼备的后备力量，制定了《江苏省扬州技师学院校内跟岗锻炼实施办法》。二是对近五年内提拔的干部档案进行了复审，确保干部的个人信息真实、准确。认真落实《党政领导干部选拔任用工作条例》，始终坚持“严细实”，有效防止履行程序不严、掌握信息不细、考察情况不实等问题的发生，做到讨论决定前对拟提拔或进一步使用人选的干部档案必审、个人有关事项报告必核、纪检监察机关意见必听、线索具体的信访举报必查，坚决防止“带病提拔”；做到没有按规定进行酝酿动议、民主推荐、组织考察的不上会；讨论决定时与会成员逐一发表同意、不同意或缓议等明确意见，党委书记最后表态。三是修订完善了《江苏省扬州技师学院干部考核实施办法》，实行分级分类考核，进一步调整优化考核内容指标，改进考核方式方法，强化考核结果运用，最大限度调动广大干部的积极性、主动性、创造性，推动树立讲担当、重担当、改革创新、干事创业的鲜明导向。为贯彻落实党中央关于全面从严治党要求，严明党的政治纪律和政治规矩，完善干部选拔任用管理制度体系，形成能上能下的选人用人机制，结合我院实际，制定了《江苏省扬州技师学院推进中层干部能上能下实施办法》。</w:t>
      </w:r>
    </w:p>
    <w:p w14:paraId="2C2C50F2">
      <w:pPr>
        <w:spacing w:line="560" w:lineRule="exact"/>
        <w:ind w:firstLine="640" w:firstLineChars="200"/>
        <w:rPr>
          <w:rFonts w:ascii="楷体" w:hAnsi="楷体" w:eastAsia="楷体"/>
          <w:bCs/>
          <w:sz w:val="32"/>
          <w:szCs w:val="32"/>
        </w:rPr>
      </w:pPr>
      <w:r>
        <w:rPr>
          <w:rFonts w:hint="eastAsia" w:ascii="楷体" w:hAnsi="楷体" w:eastAsia="楷体"/>
          <w:bCs/>
          <w:sz w:val="32"/>
          <w:szCs w:val="32"/>
        </w:rPr>
        <w:t>（二十一）关于“党建基础较为薄弱”问题的整改</w:t>
      </w:r>
    </w:p>
    <w:p w14:paraId="1589682D">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整改落实情况及成效：</w:t>
      </w:r>
      <w:r>
        <w:rPr>
          <w:rFonts w:hint="eastAsia" w:ascii="仿宋_GB2312" w:hAnsi="仿宋" w:eastAsia="仿宋_GB2312"/>
          <w:sz w:val="32"/>
          <w:szCs w:val="32"/>
        </w:rPr>
        <w:t>学院在全面从严治党会议就加强基层党组织提出了“建设‘四强党支部’”的具体要求，即政治功能强、支部班子强、党员队伍强、作用发挥强。同时，指导、督促各总支、支部认真执行“三会一课”、组织生活会、党员“统一活动日”、谈心谈话制度、评议党员制度等党内组织生活基本制度，2024年6月－7月，纪委办、组织部、宣传部对党建、意识形态工作开展了专项督查。以“四不两直”的方式对基层党组织生活制度落实情况进行检查，持续巩固学院各党总支（支部）标准化规范化建设成果。加强党务工作者业务知识培训，邀请扬州市职业大学马克思主义学院院长张莉教授为基层党务工作者专题培训，提升基层党务工作者党建业务能力，进一步推动党总支、党支部品牌建设。</w:t>
      </w:r>
    </w:p>
    <w:p w14:paraId="1213D7C3">
      <w:pPr>
        <w:spacing w:line="560" w:lineRule="exact"/>
        <w:ind w:firstLine="640" w:firstLineChars="200"/>
        <w:rPr>
          <w:rFonts w:ascii="楷体" w:hAnsi="楷体" w:eastAsia="楷体"/>
          <w:bCs/>
          <w:sz w:val="32"/>
          <w:szCs w:val="32"/>
        </w:rPr>
      </w:pPr>
      <w:r>
        <w:rPr>
          <w:rFonts w:hint="eastAsia" w:ascii="楷体" w:hAnsi="楷体" w:eastAsia="楷体"/>
          <w:bCs/>
          <w:sz w:val="32"/>
          <w:szCs w:val="32"/>
        </w:rPr>
        <w:t>（二十二）关于“内设机构职能分配不合理”</w:t>
      </w:r>
      <w:bookmarkStart w:id="38" w:name="OLE_LINK27"/>
      <w:bookmarkStart w:id="39" w:name="OLE_LINK28"/>
      <w:r>
        <w:rPr>
          <w:rFonts w:hint="eastAsia" w:ascii="楷体" w:hAnsi="楷体" w:eastAsia="楷体"/>
          <w:bCs/>
          <w:sz w:val="32"/>
          <w:szCs w:val="32"/>
        </w:rPr>
        <w:t>问题的整改</w:t>
      </w:r>
    </w:p>
    <w:p w14:paraId="04F6385B">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整改落实情况及成效：</w:t>
      </w:r>
      <w:r>
        <w:rPr>
          <w:rFonts w:hint="eastAsia" w:ascii="仿宋_GB2312" w:hAnsi="仿宋" w:eastAsia="仿宋_GB2312"/>
          <w:sz w:val="32"/>
          <w:szCs w:val="32"/>
        </w:rPr>
        <w:t>一是</w:t>
      </w:r>
      <w:bookmarkEnd w:id="38"/>
      <w:bookmarkEnd w:id="39"/>
      <w:r>
        <w:rPr>
          <w:rFonts w:hint="eastAsia" w:ascii="仿宋_GB2312" w:hAnsi="仿宋" w:eastAsia="仿宋_GB2312"/>
          <w:sz w:val="32"/>
          <w:szCs w:val="32"/>
          <w:shd w:val="clear" w:color="auto" w:fill="FFFFFF"/>
        </w:rPr>
        <w:t>结合内控体系建设工作，现已对13个职能处（部）室、2个群团组织、7个二级学院（基础部）的部门工作职责进行全面起底、重新核准，经分管领导确认后通过党委会研究确定先试行一年。</w:t>
      </w:r>
      <w:r>
        <w:rPr>
          <w:rFonts w:hint="eastAsia" w:ascii="仿宋_GB2312" w:hAnsi="仿宋" w:eastAsia="仿宋_GB2312"/>
          <w:sz w:val="32"/>
          <w:szCs w:val="32"/>
        </w:rPr>
        <w:t>对财务处的部门职责进一步划分，单独设立直属审计科和直属国资科，专属办公，对财务全面监督。为加强资产管理，设置资产账务管理专职人员，定期更新资产帐。结合财务岗位特点，根据不相容岗位分离原则，财务处优化了各业务岗位设置,核算科长对于收入、记账复核，加强了业务流程的管理。为提高财务服务能力，学院召开专题工作会议，制定每个月业务学习计划，</w:t>
      </w:r>
      <w:bookmarkStart w:id="40" w:name="OLE_LINK78"/>
      <w:bookmarkStart w:id="41" w:name="OLE_LINK79"/>
      <w:r>
        <w:rPr>
          <w:rFonts w:hint="eastAsia" w:ascii="仿宋_GB2312" w:hAnsi="仿宋" w:eastAsia="仿宋_GB2312"/>
          <w:sz w:val="32"/>
          <w:szCs w:val="32"/>
        </w:rPr>
        <w:t>先后邀请扬州工业职业技术学院、江苏旅院学院财务处人员指导交流，</w:t>
      </w:r>
      <w:bookmarkEnd w:id="40"/>
      <w:bookmarkEnd w:id="41"/>
      <w:r>
        <w:rPr>
          <w:rFonts w:hint="eastAsia" w:ascii="仿宋_GB2312" w:hAnsi="仿宋" w:eastAsia="仿宋_GB2312"/>
          <w:sz w:val="32"/>
          <w:szCs w:val="32"/>
        </w:rPr>
        <w:t>并向上级业务主管部门请教学习，不断提升财务人员整体业务能力。二是修订了学院内部采购管理办法，厘清各项采购业务的范围与职责，明确后保处、实训处、教务处采购范围及职责，建立由相关部门分类登记采购台账的制度。具体招投标实施工作由后保处、教务处、实训处三个部门实施，建立由采购归口部门分类登记台账的制度，同时在招标工作期间做到事前、事中、事后向纪委办公室备案，尽可能规避风险。加强了与后保处、实训处等部门的沟通。</w:t>
      </w:r>
    </w:p>
    <w:p w14:paraId="018846F5">
      <w:pPr>
        <w:spacing w:line="560" w:lineRule="exact"/>
        <w:ind w:firstLine="640" w:firstLineChars="200"/>
        <w:rPr>
          <w:rFonts w:ascii="楷体" w:hAnsi="楷体" w:eastAsia="楷体"/>
          <w:bCs/>
          <w:sz w:val="32"/>
          <w:szCs w:val="32"/>
        </w:rPr>
      </w:pPr>
      <w:r>
        <w:rPr>
          <w:rFonts w:hint="eastAsia" w:ascii="楷体" w:hAnsi="楷体" w:eastAsia="楷体"/>
          <w:bCs/>
          <w:sz w:val="32"/>
          <w:szCs w:val="32"/>
        </w:rPr>
        <w:t>（二十三）关于“预算收入管理不严格”问题的整改</w:t>
      </w:r>
    </w:p>
    <w:p w14:paraId="2DB8941D">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整改落实情况及成效：</w:t>
      </w:r>
      <w:r>
        <w:rPr>
          <w:rFonts w:hint="eastAsia" w:ascii="仿宋_GB2312" w:hAnsi="仿宋" w:eastAsia="仿宋_GB2312"/>
          <w:sz w:val="32"/>
          <w:szCs w:val="32"/>
        </w:rPr>
        <w:t>一是学院上线了培训创收收费系统，继教处对培训等收入从严管理，须缴费单位与各部门核对后，经继教处、财务处确认，提交学院在江苏银行收入过渡户，并每个月上交至市财政。财务处进一步梳理与核对学院过渡户资金，与相关部门核查学院过渡户中校园营业用房租金，已经及时上缴并长期执行。</w:t>
      </w:r>
      <w:bookmarkStart w:id="42" w:name="OLE_LINK50"/>
      <w:bookmarkStart w:id="43" w:name="OLE_LINK51"/>
      <w:r>
        <w:rPr>
          <w:rFonts w:hint="eastAsia" w:ascii="仿宋_GB2312" w:hAnsi="仿宋" w:eastAsia="仿宋_GB2312"/>
          <w:sz w:val="32"/>
          <w:szCs w:val="32"/>
        </w:rPr>
        <w:t>学院已完成《江苏省扬州技师学院收入资金管理办法》初稿，明确对账流程。</w:t>
      </w:r>
      <w:bookmarkEnd w:id="42"/>
      <w:bookmarkEnd w:id="43"/>
      <w:r>
        <w:rPr>
          <w:rFonts w:hint="eastAsia" w:ascii="仿宋_GB2312" w:hAnsi="仿宋" w:eastAsia="仿宋_GB2312"/>
          <w:sz w:val="32"/>
          <w:szCs w:val="32"/>
        </w:rPr>
        <w:t>二是学院多次召开专题协调会，进一步加强与弘扬中专沟通，通过发函等形式通知弘扬中专。经院长办公会集体研究讨论决定，同意弘扬中专按实际租用时间支付房租，目前租金已全部到账。</w:t>
      </w:r>
      <w:bookmarkStart w:id="44" w:name="OLE_LINK43"/>
      <w:bookmarkStart w:id="45" w:name="OLE_LINK42"/>
      <w:bookmarkStart w:id="46" w:name="OLE_LINK44"/>
      <w:r>
        <w:rPr>
          <w:rFonts w:hint="eastAsia" w:ascii="仿宋_GB2312" w:hAnsi="仿宋" w:eastAsia="仿宋_GB2312"/>
          <w:sz w:val="32"/>
          <w:szCs w:val="32"/>
        </w:rPr>
        <w:t>是相关资金是食堂经营方定向捐助困难学生就餐以及食堂饭菜价格平抑。根据省教育厅、省发改委、省财政厅联合发文苏教发函〔2021〕121号文件要求，学校采取有效措施满足家庭经济困难学生尤其是特困生的基本就餐需求和学校落实学生食堂公益性保障措施，按照要求设立学生食堂饭菜价格平抑基金，经与食堂经营方协商设立此平抑金。按照整改要求，学院后勤保卫处、财务处、公共实训中心均已明确专人负责相关费用的管理，进一步规范食堂营业收入和银行数据对账流程，做到每个月核对一次，并及时确认。对于价格平抑和困难学生就餐，学院后勤保卫处规范了学生就餐和价格平抑的具体措施，建立使用登记台账。</w:t>
      </w:r>
      <w:bookmarkEnd w:id="44"/>
      <w:bookmarkEnd w:id="45"/>
      <w:bookmarkEnd w:id="46"/>
    </w:p>
    <w:p w14:paraId="3B360DD1">
      <w:pPr>
        <w:spacing w:line="560" w:lineRule="exact"/>
        <w:ind w:firstLine="640" w:firstLineChars="200"/>
        <w:rPr>
          <w:rFonts w:ascii="楷体" w:hAnsi="楷体" w:eastAsia="楷体"/>
          <w:bCs/>
          <w:sz w:val="32"/>
          <w:szCs w:val="32"/>
        </w:rPr>
      </w:pPr>
      <w:r>
        <w:rPr>
          <w:rFonts w:hint="eastAsia" w:ascii="楷体" w:hAnsi="楷体" w:eastAsia="楷体"/>
          <w:bCs/>
          <w:sz w:val="32"/>
          <w:szCs w:val="32"/>
        </w:rPr>
        <w:t>（二十四）关于“后勤管理不规范” 问题的整改</w:t>
      </w:r>
    </w:p>
    <w:p w14:paraId="083461EB">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整改落实情况及成效：</w:t>
      </w:r>
      <w:r>
        <w:rPr>
          <w:rFonts w:hint="eastAsia" w:ascii="仿宋_GB2312" w:hAnsi="仿宋" w:eastAsia="仿宋_GB2312"/>
          <w:sz w:val="32"/>
          <w:szCs w:val="32"/>
        </w:rPr>
        <w:t>一是疫情期间老校区商户租金减免事宜经院长办公会议讨论通过写入会议纪要，后保处根据会议纪要参照老校区实际在校人数计算后减免2个月租金。学院将进一步加强后勤管理，严格按照规定办事，完善办事流程。二是学院加强了对学生食堂和校园经营商户营业款结算管理，</w:t>
      </w:r>
      <w:bookmarkStart w:id="47" w:name="OLE_LINK47"/>
      <w:r>
        <w:rPr>
          <w:rFonts w:hint="eastAsia" w:ascii="仿宋_GB2312" w:hAnsi="仿宋" w:eastAsia="仿宋_GB2312"/>
          <w:sz w:val="32"/>
          <w:szCs w:val="32"/>
        </w:rPr>
        <w:t>每月初后保处发起上月食堂、商户营业款结算，经实训处、后保处、财务处三方共同核对后支付。</w:t>
      </w:r>
      <w:bookmarkEnd w:id="47"/>
      <w:r>
        <w:rPr>
          <w:rFonts w:hint="eastAsia" w:ascii="仿宋_GB2312" w:hAnsi="仿宋" w:eastAsia="仿宋_GB2312"/>
          <w:sz w:val="32"/>
          <w:szCs w:val="32"/>
        </w:rPr>
        <w:t>三是根据老校区食堂经营商户提供的支付码收款记录，按合同约定的营业额1%补收经管管理费。</w:t>
      </w:r>
    </w:p>
    <w:p w14:paraId="2CE51DE4">
      <w:pPr>
        <w:spacing w:line="560" w:lineRule="exact"/>
        <w:ind w:firstLine="640" w:firstLineChars="200"/>
        <w:rPr>
          <w:rFonts w:ascii="楷体" w:hAnsi="楷体" w:eastAsia="楷体"/>
          <w:bCs/>
          <w:sz w:val="32"/>
          <w:szCs w:val="32"/>
        </w:rPr>
      </w:pPr>
      <w:r>
        <w:rPr>
          <w:rFonts w:hint="eastAsia" w:ascii="楷体" w:hAnsi="楷体" w:eastAsia="楷体"/>
          <w:bCs/>
          <w:sz w:val="32"/>
          <w:szCs w:val="32"/>
        </w:rPr>
        <w:t>（二十五）关于“内部控制不严谨”</w:t>
      </w:r>
      <w:bookmarkStart w:id="48" w:name="OLE_LINK30"/>
      <w:bookmarkStart w:id="49" w:name="OLE_LINK29"/>
      <w:r>
        <w:rPr>
          <w:rFonts w:hint="eastAsia" w:ascii="楷体" w:hAnsi="楷体" w:eastAsia="楷体"/>
          <w:bCs/>
          <w:sz w:val="32"/>
          <w:szCs w:val="32"/>
        </w:rPr>
        <w:t>问题的整改</w:t>
      </w:r>
    </w:p>
    <w:p w14:paraId="0D044A42">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整改落实情况及成效：</w:t>
      </w:r>
      <w:r>
        <w:rPr>
          <w:rFonts w:hint="eastAsia" w:ascii="仿宋_GB2312" w:hAnsi="仿宋" w:eastAsia="仿宋_GB2312"/>
          <w:sz w:val="32"/>
          <w:szCs w:val="32"/>
        </w:rPr>
        <w:t>一是</w:t>
      </w:r>
      <w:bookmarkEnd w:id="48"/>
      <w:bookmarkEnd w:id="49"/>
      <w:r>
        <w:rPr>
          <w:rFonts w:hint="eastAsia" w:ascii="仿宋_GB2312" w:hAnsi="仿宋" w:eastAsia="仿宋_GB2312"/>
          <w:sz w:val="32"/>
          <w:szCs w:val="32"/>
        </w:rPr>
        <w:t>结合巡察反馈，</w:t>
      </w:r>
      <w:bookmarkStart w:id="50" w:name="OLE_LINK45"/>
      <w:bookmarkStart w:id="51" w:name="OLE_LINK46"/>
      <w:r>
        <w:rPr>
          <w:rFonts w:hint="eastAsia" w:ascii="仿宋_GB2312" w:hAnsi="仿宋" w:eastAsia="仿宋_GB2312"/>
          <w:sz w:val="32"/>
          <w:szCs w:val="32"/>
        </w:rPr>
        <w:t>实训处及时提供商家pos机、聚合支付平台的数据，</w:t>
      </w:r>
      <w:bookmarkEnd w:id="50"/>
      <w:bookmarkEnd w:id="51"/>
      <w:r>
        <w:rPr>
          <w:rFonts w:hint="eastAsia" w:ascii="仿宋_GB2312" w:hAnsi="仿宋" w:eastAsia="仿宋_GB2312"/>
          <w:sz w:val="32"/>
          <w:szCs w:val="32"/>
        </w:rPr>
        <w:t>后保处与各个商家的营业收入进行核对，财务处对各业务数据与银行核对，目前已经全部核对准确。二是后保处、财务处、实训处共同核查商超消费资金和学校银行数据，并与微信支付系统、银行加强沟通，协同实训处按照要求进行“同名”认证，并及时确认微信余额数据，转入银行账号。三是多次召集纪委办、财务处、实训处负责同志和学院法务参加的协调会，摸清底数、了解实情。通过发送公函、律师函、电话联系等方式，</w:t>
      </w:r>
      <w:bookmarkStart w:id="52" w:name="OLE_LINK2"/>
      <w:bookmarkStart w:id="53" w:name="OLE_LINK3"/>
      <w:bookmarkStart w:id="54" w:name="OLE_LINK1"/>
      <w:r>
        <w:rPr>
          <w:rFonts w:hint="eastAsia" w:ascii="仿宋_GB2312" w:hAnsi="仿宋" w:eastAsia="仿宋_GB2312"/>
          <w:sz w:val="32"/>
          <w:szCs w:val="32"/>
        </w:rPr>
        <w:t xml:space="preserve">追回兴业银行股份有限公司苏州高新技术产业开发区支行和葫芦岛银行股份有限公司海滨支行两个银行的两笔回款，剩余款项仍在督促追讨之中。 </w:t>
      </w:r>
    </w:p>
    <w:bookmarkEnd w:id="52"/>
    <w:bookmarkEnd w:id="53"/>
    <w:bookmarkEnd w:id="54"/>
    <w:p w14:paraId="22A7EBD8">
      <w:pPr>
        <w:spacing w:line="560" w:lineRule="exact"/>
        <w:ind w:firstLine="640" w:firstLineChars="200"/>
        <w:rPr>
          <w:rFonts w:ascii="楷体" w:hAnsi="楷体" w:eastAsia="楷体"/>
          <w:bCs/>
          <w:sz w:val="32"/>
          <w:szCs w:val="32"/>
        </w:rPr>
      </w:pPr>
      <w:r>
        <w:rPr>
          <w:rFonts w:hint="eastAsia" w:ascii="楷体" w:hAnsi="楷体" w:eastAsia="楷体"/>
          <w:bCs/>
          <w:sz w:val="32"/>
          <w:szCs w:val="32"/>
        </w:rPr>
        <w:t>（二十六）关于“招投标工作不够规范”问题的整改</w:t>
      </w:r>
    </w:p>
    <w:p w14:paraId="5DEB3BBA">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整改落实情况及成效：</w:t>
      </w:r>
      <w:r>
        <w:rPr>
          <w:rFonts w:hint="eastAsia" w:ascii="仿宋_GB2312" w:hAnsi="仿宋" w:eastAsia="仿宋_GB2312"/>
          <w:sz w:val="32"/>
          <w:szCs w:val="32"/>
        </w:rPr>
        <w:t>一是加强了合同款项支付管理，核查采购项目的招标文件、中标通知书、合同文本等报销入账附件材料，要求业务部门在报销时，事先与中标单位沟通好，严格按照合同约定的比例支付款项，同时财务处加强费用支出的审核。加强校内采购、校外分散采购的招投标资格审查，通过网络平台全方面审查投标企业间的关联关系，并询问投标单位的授权代表，必要时须提供投标单位有关支撑材料备查。二是学院组织召开专题会议，学习《扬州市财政局关于进一步加强和规范政府购买服务管理的通知》《江苏省扬州技师学院政府采购内部控制工作管理办法（修订稿）》等政府采购管理的有关文件，进一步规范招标采购工作，并向学院纪委办公室备案。</w:t>
      </w:r>
    </w:p>
    <w:p w14:paraId="3AE22274">
      <w:pPr>
        <w:spacing w:line="58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三、下一步整改工作打算</w:t>
      </w:r>
    </w:p>
    <w:p w14:paraId="372879B0">
      <w:pPr>
        <w:spacing w:line="58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院整改工作虽然取得了阶段性成效，但整改工作还需不断深化，尤其是一些比较复杂、深层次方面的问题，需要从体制机制方面深化改革来逐步解决。下一步，我们将继续认真贯彻落实市委和市委巡察办的要求，坚持思想不放松、标准不降低、力度不减弱，持续深入做好巡察反馈意见整改工作，切实把整改成果转化并运用到各项实际工作中。</w:t>
      </w:r>
    </w:p>
    <w:p w14:paraId="446CD2FB">
      <w:pPr>
        <w:spacing w:line="580" w:lineRule="exact"/>
        <w:ind w:firstLine="640"/>
        <w:rPr>
          <w:rFonts w:ascii="楷体" w:hAnsi="楷体" w:eastAsia="楷体" w:cs="Times New Roman"/>
          <w:sz w:val="32"/>
          <w:szCs w:val="32"/>
        </w:rPr>
      </w:pPr>
      <w:r>
        <w:rPr>
          <w:rFonts w:hint="eastAsia" w:ascii="楷体" w:hAnsi="楷体" w:eastAsia="楷体" w:cs="Times New Roman"/>
          <w:sz w:val="32"/>
          <w:szCs w:val="32"/>
        </w:rPr>
        <w:t>（一）深化思想认识，落实“两个责任”</w:t>
      </w:r>
    </w:p>
    <w:p w14:paraId="26D136B9">
      <w:pPr>
        <w:spacing w:line="58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进一步强化巡察整改政治意识、责任意识，以钉钉子的精神，一步一个脚印，不断深化和巩固拓展巡察整改成果。院党委和纪委自觉履行党风廉政建设的主体责任和监督责任，党委主要负责同志认真履行第一责任人的职责，班子其他成员根据工作分工切实履行“一岗双责”，对职责范围内的党风廉政建设负主要领导责任。加快推进纪委转职能、转方式、转作风，强化监督执纪问责，以强有力的执纪问责推进巡察整改工作取得实效。</w:t>
      </w:r>
    </w:p>
    <w:p w14:paraId="098E7D5C">
      <w:pPr>
        <w:spacing w:line="580" w:lineRule="exact"/>
        <w:ind w:firstLine="640"/>
        <w:rPr>
          <w:rFonts w:ascii="楷体" w:hAnsi="楷体" w:eastAsia="楷体" w:cs="Times New Roman"/>
          <w:sz w:val="32"/>
          <w:szCs w:val="32"/>
        </w:rPr>
      </w:pPr>
      <w:r>
        <w:rPr>
          <w:rFonts w:hint="eastAsia" w:ascii="楷体" w:hAnsi="楷体" w:eastAsia="楷体" w:cs="Times New Roman"/>
          <w:sz w:val="32"/>
          <w:szCs w:val="32"/>
        </w:rPr>
        <w:t>（二）围绕突出问题，持续抓好整改</w:t>
      </w:r>
    </w:p>
    <w:p w14:paraId="432D0C42">
      <w:pPr>
        <w:spacing w:line="58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确保问题件件有着落”的要求，坚持目标不变、标准不降、力度不减。对已完成的整改事项，适时组织“回头看”，巩固已有成效，防止问题反弹。对还未整改到位的问题，紧盯不放、一鼓作气，加大力度、加快进度、抓紧整改到位。对长期整改任务，强化措施、夯实责任，确保问题整改不留死角、全部到位。主动接受干部群众监督，确保整改工作取得实效。</w:t>
      </w:r>
    </w:p>
    <w:p w14:paraId="13804533">
      <w:pPr>
        <w:spacing w:line="580" w:lineRule="exact"/>
        <w:ind w:firstLine="640"/>
        <w:rPr>
          <w:rFonts w:ascii="楷体" w:hAnsi="楷体" w:eastAsia="楷体" w:cs="Times New Roman"/>
          <w:sz w:val="32"/>
          <w:szCs w:val="32"/>
        </w:rPr>
      </w:pPr>
      <w:r>
        <w:rPr>
          <w:rFonts w:hint="eastAsia" w:ascii="楷体" w:hAnsi="楷体" w:eastAsia="楷体" w:cs="Times New Roman"/>
          <w:sz w:val="32"/>
          <w:szCs w:val="32"/>
        </w:rPr>
        <w:t>（三）结合工作实际，推进学院发展</w:t>
      </w:r>
    </w:p>
    <w:p w14:paraId="6D8689C8">
      <w:pPr>
        <w:spacing w:line="58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把巡察整改工作与同深入开展贯彻中央八项规定精神学习教育结合起来，与推动当前学院改革发展紧密结合起来，以整改工作的不断深化，促进问题的有效解决，进一步优化发展环境。持续抓好作风建设，进一步增强凝聚力、强化执行力，打造一支有勇于担当、干事创业的干部队伍，推动学院的高质量发展和全面从严治党迈上新台阶。</w:t>
      </w:r>
    </w:p>
    <w:p w14:paraId="7AD22106">
      <w:pPr>
        <w:spacing w:line="580" w:lineRule="exact"/>
        <w:ind w:firstLine="924" w:firstLineChars="3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欢迎广大干部群众对巡察整改落实情况进行监督。如有意见建议，请及时向我们反映。联系方式：电话</w:t>
      </w:r>
      <w:r>
        <w:rPr>
          <w:rFonts w:hint="eastAsia" w:ascii="Times New Roman" w:hAnsi="Times New Roman" w:eastAsia="仿宋_GB2312" w:cs="Times New Roman"/>
          <w:spacing w:val="-6"/>
          <w:sz w:val="32"/>
          <w:szCs w:val="32"/>
        </w:rPr>
        <w:t>0514-87922858</w:t>
      </w:r>
      <w:r>
        <w:rPr>
          <w:rFonts w:ascii="Times New Roman" w:hAnsi="Times New Roman" w:eastAsia="仿宋_GB2312" w:cs="Times New Roman"/>
          <w:spacing w:val="-6"/>
          <w:sz w:val="32"/>
          <w:szCs w:val="32"/>
        </w:rPr>
        <w:t>；电子邮箱</w:t>
      </w:r>
      <w:r>
        <w:fldChar w:fldCharType="begin"/>
      </w:r>
      <w:r>
        <w:instrText xml:space="preserve"> HYPERLINK "mailto:jsxyjjc@126.com。" </w:instrText>
      </w:r>
      <w:r>
        <w:fldChar w:fldCharType="separate"/>
      </w:r>
      <w:r>
        <w:rPr>
          <w:rStyle w:val="9"/>
          <w:rFonts w:ascii="Times New Roman" w:hAnsi="Times New Roman" w:eastAsia="仿宋_GB2312" w:cs="Times New Roman"/>
          <w:color w:val="auto"/>
          <w:spacing w:val="-6"/>
          <w:sz w:val="32"/>
          <w:szCs w:val="32"/>
        </w:rPr>
        <w:t>jsxyjjc</w:t>
      </w:r>
      <w:r>
        <w:rPr>
          <w:rStyle w:val="9"/>
          <w:rFonts w:hint="eastAsia" w:ascii="Times New Roman" w:hAnsi="Times New Roman" w:eastAsia="仿宋_GB2312" w:cs="Times New Roman"/>
          <w:color w:val="auto"/>
          <w:spacing w:val="-6"/>
          <w:sz w:val="32"/>
          <w:szCs w:val="32"/>
        </w:rPr>
        <w:t>@126.com</w:t>
      </w:r>
      <w:r>
        <w:rPr>
          <w:rStyle w:val="9"/>
          <w:rFonts w:ascii="Times New Roman" w:hAnsi="Times New Roman" w:eastAsia="仿宋_GB2312" w:cs="Times New Roman"/>
          <w:color w:val="auto"/>
          <w:spacing w:val="-6"/>
          <w:sz w:val="32"/>
          <w:szCs w:val="32"/>
        </w:rPr>
        <w:t>。</w:t>
      </w:r>
      <w:r>
        <w:rPr>
          <w:rStyle w:val="9"/>
          <w:rFonts w:ascii="Times New Roman" w:hAnsi="Times New Roman" w:eastAsia="仿宋_GB2312" w:cs="Times New Roman"/>
          <w:color w:val="auto"/>
          <w:spacing w:val="-6"/>
          <w:sz w:val="32"/>
          <w:szCs w:val="32"/>
        </w:rPr>
        <w:fldChar w:fldCharType="end"/>
      </w:r>
    </w:p>
    <w:p w14:paraId="23C35360">
      <w:pPr>
        <w:spacing w:line="580" w:lineRule="exact"/>
        <w:ind w:firstLine="924" w:firstLineChars="300"/>
        <w:rPr>
          <w:rFonts w:ascii="Times New Roman" w:hAnsi="Times New Roman" w:eastAsia="仿宋_GB2312" w:cs="Times New Roman"/>
          <w:spacing w:val="-6"/>
          <w:sz w:val="32"/>
          <w:szCs w:val="32"/>
        </w:rPr>
      </w:pPr>
    </w:p>
    <w:p w14:paraId="4FA413BB">
      <w:pPr>
        <w:spacing w:line="580" w:lineRule="exact"/>
        <w:ind w:firstLine="924" w:firstLineChars="300"/>
        <w:rPr>
          <w:rFonts w:ascii="Times New Roman" w:hAnsi="Times New Roman" w:eastAsia="仿宋_GB2312" w:cs="Times New Roman"/>
          <w:spacing w:val="-6"/>
          <w:sz w:val="32"/>
          <w:szCs w:val="32"/>
        </w:rPr>
      </w:pPr>
    </w:p>
    <w:p w14:paraId="6A49D212">
      <w:pPr>
        <w:spacing w:line="58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中共江苏省扬州技师学院委员会</w:t>
      </w:r>
    </w:p>
    <w:p w14:paraId="5D60A641">
      <w:pPr>
        <w:spacing w:line="580" w:lineRule="exact"/>
        <w:ind w:firstLine="5440" w:firstLineChars="17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日</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7596569"/>
    </w:sdtPr>
    <w:sdtEndPr>
      <w:rPr>
        <w:sz w:val="24"/>
      </w:rPr>
    </w:sdtEndPr>
    <w:sdtContent>
      <w:p w14:paraId="73FDC7B3">
        <w:pPr>
          <w:pStyle w:val="4"/>
          <w:jc w:val="center"/>
          <w:rPr>
            <w:sz w:val="24"/>
          </w:rPr>
        </w:pPr>
        <w:r>
          <w:rPr>
            <w:sz w:val="24"/>
          </w:rPr>
          <w:fldChar w:fldCharType="begin"/>
        </w:r>
        <w:r>
          <w:rPr>
            <w:sz w:val="24"/>
          </w:rPr>
          <w:instrText xml:space="preserve">PAGE   \* MERGEFORMAT</w:instrText>
        </w:r>
        <w:r>
          <w:rPr>
            <w:sz w:val="24"/>
          </w:rPr>
          <w:fldChar w:fldCharType="separate"/>
        </w:r>
        <w:r>
          <w:rPr>
            <w:sz w:val="24"/>
            <w:lang w:val="zh-CN"/>
          </w:rPr>
          <w:t>3</w:t>
        </w:r>
        <w:r>
          <w:rPr>
            <w:sz w:val="24"/>
          </w:rPr>
          <w:fldChar w:fldCharType="end"/>
        </w:r>
      </w:p>
    </w:sdtContent>
  </w:sdt>
  <w:p w14:paraId="4B7A3A00">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6255A5"/>
    <w:rsid w:val="000142FF"/>
    <w:rsid w:val="0002677C"/>
    <w:rsid w:val="00035F2F"/>
    <w:rsid w:val="000423EC"/>
    <w:rsid w:val="00052A31"/>
    <w:rsid w:val="000536D9"/>
    <w:rsid w:val="000540A5"/>
    <w:rsid w:val="000571B4"/>
    <w:rsid w:val="00062967"/>
    <w:rsid w:val="000654BA"/>
    <w:rsid w:val="00071C6F"/>
    <w:rsid w:val="0008177D"/>
    <w:rsid w:val="00094EB9"/>
    <w:rsid w:val="000B4E6C"/>
    <w:rsid w:val="000C1BC4"/>
    <w:rsid w:val="000D5B16"/>
    <w:rsid w:val="00130243"/>
    <w:rsid w:val="00140CAC"/>
    <w:rsid w:val="00141C92"/>
    <w:rsid w:val="001431A7"/>
    <w:rsid w:val="001472BB"/>
    <w:rsid w:val="00157AC2"/>
    <w:rsid w:val="00181D6B"/>
    <w:rsid w:val="00187782"/>
    <w:rsid w:val="0019046A"/>
    <w:rsid w:val="0019516E"/>
    <w:rsid w:val="001A4D67"/>
    <w:rsid w:val="001B65BC"/>
    <w:rsid w:val="001D04FA"/>
    <w:rsid w:val="001D2EF1"/>
    <w:rsid w:val="001D5625"/>
    <w:rsid w:val="001E1D9E"/>
    <w:rsid w:val="001E1E5A"/>
    <w:rsid w:val="001F1130"/>
    <w:rsid w:val="002025C7"/>
    <w:rsid w:val="00206401"/>
    <w:rsid w:val="00211F3E"/>
    <w:rsid w:val="00235A59"/>
    <w:rsid w:val="00240406"/>
    <w:rsid w:val="00244261"/>
    <w:rsid w:val="002460BF"/>
    <w:rsid w:val="00254196"/>
    <w:rsid w:val="00260973"/>
    <w:rsid w:val="00262E56"/>
    <w:rsid w:val="00271B6A"/>
    <w:rsid w:val="002A2C56"/>
    <w:rsid w:val="002B1999"/>
    <w:rsid w:val="002B1B14"/>
    <w:rsid w:val="002B4EA2"/>
    <w:rsid w:val="002B59FF"/>
    <w:rsid w:val="002C37D1"/>
    <w:rsid w:val="002C6009"/>
    <w:rsid w:val="002C69EB"/>
    <w:rsid w:val="002F0C78"/>
    <w:rsid w:val="002F4DA9"/>
    <w:rsid w:val="00313596"/>
    <w:rsid w:val="00317047"/>
    <w:rsid w:val="00343C47"/>
    <w:rsid w:val="00356DA8"/>
    <w:rsid w:val="00362085"/>
    <w:rsid w:val="003807EB"/>
    <w:rsid w:val="00385CD1"/>
    <w:rsid w:val="00397887"/>
    <w:rsid w:val="003A4F3F"/>
    <w:rsid w:val="003B0D96"/>
    <w:rsid w:val="003B42DE"/>
    <w:rsid w:val="003D39AB"/>
    <w:rsid w:val="003F46ED"/>
    <w:rsid w:val="004047E0"/>
    <w:rsid w:val="0041735D"/>
    <w:rsid w:val="004371B8"/>
    <w:rsid w:val="004464DA"/>
    <w:rsid w:val="00466500"/>
    <w:rsid w:val="0047156A"/>
    <w:rsid w:val="004848AE"/>
    <w:rsid w:val="00491033"/>
    <w:rsid w:val="004961AF"/>
    <w:rsid w:val="004A39C7"/>
    <w:rsid w:val="004B71F7"/>
    <w:rsid w:val="004E51A0"/>
    <w:rsid w:val="004E777D"/>
    <w:rsid w:val="005023D9"/>
    <w:rsid w:val="005123D3"/>
    <w:rsid w:val="00524D7F"/>
    <w:rsid w:val="005272A8"/>
    <w:rsid w:val="0054413A"/>
    <w:rsid w:val="005735A4"/>
    <w:rsid w:val="005857C1"/>
    <w:rsid w:val="005970F8"/>
    <w:rsid w:val="005A5600"/>
    <w:rsid w:val="005B0789"/>
    <w:rsid w:val="005C5104"/>
    <w:rsid w:val="006042FB"/>
    <w:rsid w:val="006129E5"/>
    <w:rsid w:val="00620652"/>
    <w:rsid w:val="006255A5"/>
    <w:rsid w:val="00633919"/>
    <w:rsid w:val="00651016"/>
    <w:rsid w:val="006640E3"/>
    <w:rsid w:val="00666E45"/>
    <w:rsid w:val="00670B78"/>
    <w:rsid w:val="00682149"/>
    <w:rsid w:val="006B03D8"/>
    <w:rsid w:val="006B672A"/>
    <w:rsid w:val="006C6A19"/>
    <w:rsid w:val="006C747F"/>
    <w:rsid w:val="006C7D2B"/>
    <w:rsid w:val="006E2858"/>
    <w:rsid w:val="006E5867"/>
    <w:rsid w:val="00706394"/>
    <w:rsid w:val="00707417"/>
    <w:rsid w:val="00722261"/>
    <w:rsid w:val="00731F74"/>
    <w:rsid w:val="007512F0"/>
    <w:rsid w:val="00764E61"/>
    <w:rsid w:val="00775932"/>
    <w:rsid w:val="00782DB9"/>
    <w:rsid w:val="0078599F"/>
    <w:rsid w:val="00787D1E"/>
    <w:rsid w:val="007A075F"/>
    <w:rsid w:val="007A0D0C"/>
    <w:rsid w:val="007A152E"/>
    <w:rsid w:val="007B723F"/>
    <w:rsid w:val="007C35E6"/>
    <w:rsid w:val="007C3645"/>
    <w:rsid w:val="007D1657"/>
    <w:rsid w:val="007D3A88"/>
    <w:rsid w:val="0083475D"/>
    <w:rsid w:val="00837598"/>
    <w:rsid w:val="0084589C"/>
    <w:rsid w:val="00851A89"/>
    <w:rsid w:val="0085265F"/>
    <w:rsid w:val="00872843"/>
    <w:rsid w:val="008749E6"/>
    <w:rsid w:val="00890FF5"/>
    <w:rsid w:val="008B77F6"/>
    <w:rsid w:val="008C42F6"/>
    <w:rsid w:val="008D62AB"/>
    <w:rsid w:val="008E0D76"/>
    <w:rsid w:val="009001A8"/>
    <w:rsid w:val="00913F87"/>
    <w:rsid w:val="00921BB2"/>
    <w:rsid w:val="00926A7E"/>
    <w:rsid w:val="00930DEA"/>
    <w:rsid w:val="009313E3"/>
    <w:rsid w:val="00931700"/>
    <w:rsid w:val="00934B94"/>
    <w:rsid w:val="00942B37"/>
    <w:rsid w:val="009472F0"/>
    <w:rsid w:val="00950307"/>
    <w:rsid w:val="0096119E"/>
    <w:rsid w:val="00976130"/>
    <w:rsid w:val="009847C6"/>
    <w:rsid w:val="009A70D9"/>
    <w:rsid w:val="009B53CF"/>
    <w:rsid w:val="009D6BA1"/>
    <w:rsid w:val="009E6D19"/>
    <w:rsid w:val="00A314EC"/>
    <w:rsid w:val="00A40794"/>
    <w:rsid w:val="00A409CC"/>
    <w:rsid w:val="00A439E0"/>
    <w:rsid w:val="00A46BC1"/>
    <w:rsid w:val="00A6133D"/>
    <w:rsid w:val="00A62EBE"/>
    <w:rsid w:val="00A64A10"/>
    <w:rsid w:val="00A6619E"/>
    <w:rsid w:val="00A67720"/>
    <w:rsid w:val="00A82D5C"/>
    <w:rsid w:val="00A861FF"/>
    <w:rsid w:val="00A96ADA"/>
    <w:rsid w:val="00A9781C"/>
    <w:rsid w:val="00AC4584"/>
    <w:rsid w:val="00AC4A43"/>
    <w:rsid w:val="00AD40E2"/>
    <w:rsid w:val="00AF6D5C"/>
    <w:rsid w:val="00B2570B"/>
    <w:rsid w:val="00B30A13"/>
    <w:rsid w:val="00B47796"/>
    <w:rsid w:val="00B64329"/>
    <w:rsid w:val="00B74F03"/>
    <w:rsid w:val="00B768C0"/>
    <w:rsid w:val="00B76F00"/>
    <w:rsid w:val="00B800C7"/>
    <w:rsid w:val="00BD18D9"/>
    <w:rsid w:val="00BD5B86"/>
    <w:rsid w:val="00BE4B5D"/>
    <w:rsid w:val="00BF07DD"/>
    <w:rsid w:val="00BF5D43"/>
    <w:rsid w:val="00C26E32"/>
    <w:rsid w:val="00C30959"/>
    <w:rsid w:val="00C46108"/>
    <w:rsid w:val="00C5471B"/>
    <w:rsid w:val="00C56E8A"/>
    <w:rsid w:val="00C57003"/>
    <w:rsid w:val="00C705D4"/>
    <w:rsid w:val="00C77FEE"/>
    <w:rsid w:val="00C83A5B"/>
    <w:rsid w:val="00C93FC2"/>
    <w:rsid w:val="00CA3E06"/>
    <w:rsid w:val="00CC2A07"/>
    <w:rsid w:val="00CC43D3"/>
    <w:rsid w:val="00CD37DE"/>
    <w:rsid w:val="00CD43E1"/>
    <w:rsid w:val="00CD4FF6"/>
    <w:rsid w:val="00CE0F8B"/>
    <w:rsid w:val="00CE2B46"/>
    <w:rsid w:val="00CE5096"/>
    <w:rsid w:val="00CE6BAA"/>
    <w:rsid w:val="00D0482E"/>
    <w:rsid w:val="00D07F47"/>
    <w:rsid w:val="00D13B3F"/>
    <w:rsid w:val="00D2660D"/>
    <w:rsid w:val="00D35DDF"/>
    <w:rsid w:val="00D51893"/>
    <w:rsid w:val="00D56997"/>
    <w:rsid w:val="00D631A5"/>
    <w:rsid w:val="00DA6B61"/>
    <w:rsid w:val="00DC2769"/>
    <w:rsid w:val="00DC3F6A"/>
    <w:rsid w:val="00DC563F"/>
    <w:rsid w:val="00DC5921"/>
    <w:rsid w:val="00DD0DC2"/>
    <w:rsid w:val="00DD4C9B"/>
    <w:rsid w:val="00DD7246"/>
    <w:rsid w:val="00E06A8F"/>
    <w:rsid w:val="00E12F68"/>
    <w:rsid w:val="00E163C3"/>
    <w:rsid w:val="00E32B0A"/>
    <w:rsid w:val="00E34596"/>
    <w:rsid w:val="00E45B4E"/>
    <w:rsid w:val="00E45B9E"/>
    <w:rsid w:val="00E62545"/>
    <w:rsid w:val="00E84F57"/>
    <w:rsid w:val="00E94176"/>
    <w:rsid w:val="00EB2D9E"/>
    <w:rsid w:val="00EC4572"/>
    <w:rsid w:val="00ED546D"/>
    <w:rsid w:val="00EE5E97"/>
    <w:rsid w:val="00EF6AAB"/>
    <w:rsid w:val="00F01816"/>
    <w:rsid w:val="00F062EC"/>
    <w:rsid w:val="00F240AC"/>
    <w:rsid w:val="00F26BD2"/>
    <w:rsid w:val="00F401CA"/>
    <w:rsid w:val="00F527EA"/>
    <w:rsid w:val="00F52E25"/>
    <w:rsid w:val="00F552D3"/>
    <w:rsid w:val="00F60C2E"/>
    <w:rsid w:val="00F806CD"/>
    <w:rsid w:val="00F82C4F"/>
    <w:rsid w:val="00FA1E4D"/>
    <w:rsid w:val="00FA2B77"/>
    <w:rsid w:val="00FC7CD1"/>
    <w:rsid w:val="00FD2E0B"/>
    <w:rsid w:val="00FE3A0F"/>
    <w:rsid w:val="00FE3F61"/>
    <w:rsid w:val="022B0366"/>
    <w:rsid w:val="02B524D4"/>
    <w:rsid w:val="03231B33"/>
    <w:rsid w:val="03F92894"/>
    <w:rsid w:val="04754611"/>
    <w:rsid w:val="04F80D9E"/>
    <w:rsid w:val="081D1247"/>
    <w:rsid w:val="09AC2C7C"/>
    <w:rsid w:val="12DD1CFF"/>
    <w:rsid w:val="15871CC4"/>
    <w:rsid w:val="17991454"/>
    <w:rsid w:val="1A1A3838"/>
    <w:rsid w:val="21EB1616"/>
    <w:rsid w:val="2B663AA4"/>
    <w:rsid w:val="2D200D0E"/>
    <w:rsid w:val="322C48CD"/>
    <w:rsid w:val="360B5C7A"/>
    <w:rsid w:val="36D21734"/>
    <w:rsid w:val="3BB16FD5"/>
    <w:rsid w:val="40AE6B84"/>
    <w:rsid w:val="40FA31CC"/>
    <w:rsid w:val="41BB4E93"/>
    <w:rsid w:val="440B5E1C"/>
    <w:rsid w:val="44202F4A"/>
    <w:rsid w:val="456652D4"/>
    <w:rsid w:val="49C32CF5"/>
    <w:rsid w:val="4BB647FE"/>
    <w:rsid w:val="4C687B84"/>
    <w:rsid w:val="4CBC3D6C"/>
    <w:rsid w:val="4D183358"/>
    <w:rsid w:val="4F714FA1"/>
    <w:rsid w:val="50EF43D0"/>
    <w:rsid w:val="52AD057E"/>
    <w:rsid w:val="55B54021"/>
    <w:rsid w:val="55E464CD"/>
    <w:rsid w:val="56A83737"/>
    <w:rsid w:val="59DD74BB"/>
    <w:rsid w:val="59EE791A"/>
    <w:rsid w:val="5C697699"/>
    <w:rsid w:val="5C8E2CEF"/>
    <w:rsid w:val="5FDD1E28"/>
    <w:rsid w:val="633731E5"/>
    <w:rsid w:val="686148AA"/>
    <w:rsid w:val="6AEF3983"/>
    <w:rsid w:val="6B40357C"/>
    <w:rsid w:val="6B7B4D86"/>
    <w:rsid w:val="6D5E04BB"/>
    <w:rsid w:val="727D2CEA"/>
    <w:rsid w:val="73544A22"/>
    <w:rsid w:val="74890514"/>
    <w:rsid w:val="74B34C71"/>
    <w:rsid w:val="7FF3718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2"/>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0"/>
    <w:rPr>
      <w:color w:val="0000FF"/>
      <w:u w:val="single"/>
    </w:rPr>
  </w:style>
  <w:style w:type="character" w:styleId="10">
    <w:name w:val="annotation reference"/>
    <w:basedOn w:val="8"/>
    <w:unhideWhenUsed/>
    <w:qFormat/>
    <w:uiPriority w:val="0"/>
    <w:rPr>
      <w:sz w:val="21"/>
      <w:szCs w:val="21"/>
    </w:rPr>
  </w:style>
  <w:style w:type="character" w:customStyle="1" w:styleId="11">
    <w:name w:val="批注框文本 Char"/>
    <w:basedOn w:val="8"/>
    <w:link w:val="3"/>
    <w:qFormat/>
    <w:uiPriority w:val="0"/>
    <w:rPr>
      <w:kern w:val="2"/>
      <w:sz w:val="18"/>
      <w:szCs w:val="18"/>
    </w:rPr>
  </w:style>
  <w:style w:type="character" w:customStyle="1" w:styleId="12">
    <w:name w:val="页脚 Char"/>
    <w:basedOn w:val="8"/>
    <w:link w:val="4"/>
    <w:qFormat/>
    <w:uiPriority w:val="99"/>
    <w:rPr>
      <w:kern w:val="2"/>
      <w:sz w:val="18"/>
      <w:szCs w:val="24"/>
    </w:rPr>
  </w:style>
  <w:style w:type="paragraph" w:styleId="13">
    <w:name w:val="List Paragraph"/>
    <w:basedOn w:val="1"/>
    <w:unhideWhenUsed/>
    <w:qFormat/>
    <w:uiPriority w:val="99"/>
    <w:pPr>
      <w:ind w:firstLine="420" w:firstLineChars="200"/>
    </w:pPr>
  </w:style>
  <w:style w:type="character" w:customStyle="1" w:styleId="14">
    <w:name w:val="批注文字 Char"/>
    <w:basedOn w:val="8"/>
    <w:link w:val="2"/>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40</Pages>
  <Words>22936</Words>
  <Characters>23266</Characters>
  <Lines>3</Lines>
  <Paragraphs>46</Paragraphs>
  <TotalTime>0</TotalTime>
  <ScaleCrop>false</ScaleCrop>
  <LinksUpToDate>false</LinksUpToDate>
  <CharactersWithSpaces>23272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2025-07-04T08:36:00Z</dcterms:created>
  <dc:creator>hp</dc:creator>
  <cp:lastModifiedBy>我是你的谁</cp:lastModifiedBy>
  <cp:lastPrinted>2025-07-05T04:10:00Z</cp:lastPrinted>
  <dcterms:modified xsi:type="dcterms:W3CDTF">2025-11-04T08:25:33Z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CD7D783B298244A29A64287E0D767F39</vt:lpwstr>
  </property>
  <property fmtid="{D5CDD505-2E9C-101B-9397-08002B2CF9AE}" pid="4" name="KSOTemplateDocerSaveRecord">
    <vt:lpwstr>eyJoZGlkIjoiZDgzOTJjOGFiZDA4MDkxMjFkNGM4Mzg5M2JmMTU3MGIiLCJ1c2VySWQiOiI4Mzc3OTczMDUifQ==</vt:lpwstr>
  </property>
</Properties>
</file>