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16A81">
      <w:pPr>
        <w:spacing w:before="18"/>
        <w:jc w:val="center"/>
      </w:pPr>
      <w:r>
        <w:rPr>
          <w:rFonts w:hint="eastAsia" w:ascii="楷体_GB2312" w:hAnsi="ˎ̥" w:eastAsia="楷体_GB2312" w:cs="宋体"/>
          <w:b/>
          <w:bCs/>
          <w:color w:val="000000"/>
          <w:kern w:val="0"/>
          <w:sz w:val="44"/>
          <w:szCs w:val="44"/>
        </w:rPr>
        <w:t>企业用工需求信息表</w:t>
      </w:r>
    </w:p>
    <w:p w14:paraId="3BF30C7B">
      <w:pPr>
        <w:spacing w:before="18"/>
      </w:pPr>
    </w:p>
    <w:tbl>
      <w:tblPr>
        <w:tblStyle w:val="5"/>
        <w:tblW w:w="840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13"/>
        <w:gridCol w:w="81"/>
        <w:gridCol w:w="718"/>
        <w:gridCol w:w="1733"/>
        <w:gridCol w:w="127"/>
        <w:gridCol w:w="1755"/>
        <w:gridCol w:w="75"/>
        <w:gridCol w:w="1050"/>
        <w:gridCol w:w="1051"/>
      </w:tblGrid>
      <w:tr w14:paraId="7DF536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jc w:val="center"/>
        </w:trPr>
        <w:tc>
          <w:tcPr>
            <w:tcW w:w="1894" w:type="dxa"/>
            <w:gridSpan w:val="2"/>
            <w:vAlign w:val="top"/>
          </w:tcPr>
          <w:p w14:paraId="7A05F735">
            <w:pPr>
              <w:pStyle w:val="4"/>
              <w:spacing w:before="176" w:line="220" w:lineRule="auto"/>
              <w:ind w:left="341"/>
              <w:rPr>
                <w:sz w:val="24"/>
                <w:szCs w:val="24"/>
              </w:rPr>
            </w:pPr>
            <w:r>
              <w:rPr>
                <w:spacing w:val="-3"/>
                <w:sz w:val="24"/>
                <w:szCs w:val="24"/>
              </w:rPr>
              <w:t>单位名称</w:t>
            </w:r>
          </w:p>
        </w:tc>
        <w:tc>
          <w:tcPr>
            <w:tcW w:w="6509" w:type="dxa"/>
            <w:gridSpan w:val="7"/>
            <w:vAlign w:val="center"/>
          </w:tcPr>
          <w:p w14:paraId="3AD328AB">
            <w:pPr>
              <w:pStyle w:val="4"/>
              <w:spacing w:before="177" w:line="219" w:lineRule="auto"/>
              <w:jc w:val="center"/>
              <w:rPr>
                <w:rFonts w:hint="default" w:eastAsia="宋体"/>
                <w:sz w:val="24"/>
                <w:szCs w:val="24"/>
                <w:lang w:val="en-US" w:eastAsia="zh-CN"/>
              </w:rPr>
            </w:pPr>
            <w:r>
              <w:rPr>
                <w:rFonts w:hint="eastAsia"/>
                <w:sz w:val="24"/>
                <w:szCs w:val="24"/>
                <w:lang w:val="en-US" w:eastAsia="zh-CN"/>
              </w:rPr>
              <w:t>江苏神州半导体科技股份有限公司</w:t>
            </w:r>
          </w:p>
        </w:tc>
      </w:tr>
      <w:tr w14:paraId="6C8235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jc w:val="center"/>
        </w:trPr>
        <w:tc>
          <w:tcPr>
            <w:tcW w:w="1894" w:type="dxa"/>
            <w:gridSpan w:val="2"/>
            <w:vAlign w:val="top"/>
          </w:tcPr>
          <w:p w14:paraId="2B3081FC">
            <w:pPr>
              <w:pStyle w:val="4"/>
              <w:spacing w:before="170" w:line="220" w:lineRule="auto"/>
              <w:ind w:left="341"/>
              <w:rPr>
                <w:sz w:val="24"/>
                <w:szCs w:val="24"/>
              </w:rPr>
            </w:pPr>
            <w:r>
              <w:rPr>
                <w:spacing w:val="-3"/>
                <w:sz w:val="24"/>
                <w:szCs w:val="24"/>
              </w:rPr>
              <w:t>单位地址</w:t>
            </w:r>
          </w:p>
        </w:tc>
        <w:tc>
          <w:tcPr>
            <w:tcW w:w="6509" w:type="dxa"/>
            <w:gridSpan w:val="7"/>
            <w:vAlign w:val="top"/>
          </w:tcPr>
          <w:p w14:paraId="4DD24F71">
            <w:pPr>
              <w:pStyle w:val="4"/>
              <w:spacing w:before="171" w:line="219" w:lineRule="auto"/>
              <w:jc w:val="center"/>
              <w:rPr>
                <w:rFonts w:hint="default" w:eastAsia="宋体"/>
                <w:sz w:val="24"/>
                <w:szCs w:val="24"/>
                <w:lang w:val="en-US" w:eastAsia="zh-CN"/>
              </w:rPr>
            </w:pPr>
            <w:r>
              <w:rPr>
                <w:rFonts w:hint="eastAsia"/>
                <w:sz w:val="24"/>
                <w:szCs w:val="24"/>
                <w:lang w:val="en-US" w:eastAsia="zh-CN"/>
              </w:rPr>
              <w:t>扬州市邗江区西湖镇蜀岗西路19号-1</w:t>
            </w:r>
          </w:p>
        </w:tc>
      </w:tr>
      <w:tr w14:paraId="7CD227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jc w:val="center"/>
        </w:trPr>
        <w:tc>
          <w:tcPr>
            <w:tcW w:w="1894" w:type="dxa"/>
            <w:gridSpan w:val="2"/>
            <w:vAlign w:val="top"/>
          </w:tcPr>
          <w:p w14:paraId="374416ED">
            <w:pPr>
              <w:pStyle w:val="4"/>
              <w:spacing w:before="171" w:line="221" w:lineRule="auto"/>
              <w:ind w:left="340"/>
              <w:rPr>
                <w:rFonts w:hint="eastAsia" w:eastAsia="宋体"/>
                <w:sz w:val="24"/>
                <w:szCs w:val="24"/>
                <w:lang w:val="en-US" w:eastAsia="zh-CN"/>
              </w:rPr>
            </w:pPr>
            <w:r>
              <w:rPr>
                <w:rFonts w:hint="eastAsia"/>
                <w:sz w:val="24"/>
                <w:szCs w:val="24"/>
                <w:lang w:val="en-US" w:eastAsia="zh-CN"/>
              </w:rPr>
              <w:t>单位性质</w:t>
            </w:r>
          </w:p>
        </w:tc>
        <w:tc>
          <w:tcPr>
            <w:tcW w:w="2451" w:type="dxa"/>
            <w:gridSpan w:val="2"/>
            <w:vAlign w:val="top"/>
          </w:tcPr>
          <w:p w14:paraId="41CE8EDC">
            <w:pPr>
              <w:pStyle w:val="4"/>
              <w:spacing w:before="171" w:line="220" w:lineRule="auto"/>
              <w:ind w:left="1010"/>
              <w:rPr>
                <w:rFonts w:hint="eastAsia" w:eastAsia="宋体"/>
                <w:sz w:val="24"/>
                <w:szCs w:val="24"/>
                <w:lang w:val="en-US" w:eastAsia="zh-CN"/>
              </w:rPr>
            </w:pPr>
            <w:r>
              <w:rPr>
                <w:rFonts w:hint="eastAsia"/>
                <w:sz w:val="24"/>
                <w:szCs w:val="24"/>
                <w:lang w:val="en-US" w:eastAsia="zh-CN"/>
              </w:rPr>
              <w:t>民营</w:t>
            </w:r>
          </w:p>
        </w:tc>
        <w:tc>
          <w:tcPr>
            <w:tcW w:w="1957" w:type="dxa"/>
            <w:gridSpan w:val="3"/>
            <w:vAlign w:val="top"/>
          </w:tcPr>
          <w:p w14:paraId="784D222A">
            <w:pPr>
              <w:pStyle w:val="4"/>
              <w:spacing w:before="171" w:line="221" w:lineRule="auto"/>
              <w:ind w:left="507"/>
              <w:rPr>
                <w:rFonts w:hint="eastAsia" w:eastAsia="宋体"/>
                <w:sz w:val="24"/>
                <w:szCs w:val="24"/>
                <w:lang w:val="en-US" w:eastAsia="zh-CN"/>
              </w:rPr>
            </w:pPr>
            <w:r>
              <w:rPr>
                <w:rFonts w:hint="eastAsia"/>
                <w:sz w:val="24"/>
                <w:szCs w:val="24"/>
                <w:lang w:val="en-US" w:eastAsia="zh-CN"/>
              </w:rPr>
              <w:t>单位行业</w:t>
            </w:r>
          </w:p>
        </w:tc>
        <w:tc>
          <w:tcPr>
            <w:tcW w:w="2101" w:type="dxa"/>
            <w:gridSpan w:val="2"/>
            <w:vAlign w:val="top"/>
          </w:tcPr>
          <w:p w14:paraId="10EBE211">
            <w:pPr>
              <w:pStyle w:val="4"/>
              <w:spacing w:before="207" w:line="184" w:lineRule="auto"/>
              <w:ind w:left="339"/>
              <w:rPr>
                <w:rFonts w:hint="default" w:eastAsia="宋体"/>
                <w:sz w:val="24"/>
                <w:szCs w:val="24"/>
                <w:lang w:val="en-US" w:eastAsia="zh-CN"/>
              </w:rPr>
            </w:pPr>
            <w:r>
              <w:rPr>
                <w:rFonts w:ascii="Helvetica" w:hAnsi="Helvetica" w:eastAsia="Helvetica" w:cs="Helvetica"/>
                <w:i w:val="0"/>
                <w:iCs w:val="0"/>
                <w:caps w:val="0"/>
                <w:color w:val="333333"/>
                <w:spacing w:val="0"/>
                <w:sz w:val="21"/>
                <w:szCs w:val="21"/>
                <w:shd w:val="clear" w:fill="FFFFFF"/>
              </w:rPr>
              <w:t>研究和试验发展</w:t>
            </w:r>
          </w:p>
        </w:tc>
      </w:tr>
      <w:tr w14:paraId="17F5A6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4" w:hRule="atLeast"/>
          <w:jc w:val="center"/>
        </w:trPr>
        <w:tc>
          <w:tcPr>
            <w:tcW w:w="1894" w:type="dxa"/>
            <w:gridSpan w:val="2"/>
            <w:vAlign w:val="top"/>
          </w:tcPr>
          <w:p w14:paraId="14373434">
            <w:pPr>
              <w:pStyle w:val="4"/>
              <w:spacing w:before="172" w:line="224" w:lineRule="auto"/>
              <w:ind w:left="357"/>
              <w:rPr>
                <w:rFonts w:hint="default" w:eastAsia="宋体"/>
                <w:sz w:val="24"/>
                <w:szCs w:val="24"/>
                <w:lang w:val="en-US" w:eastAsia="zh-CN"/>
              </w:rPr>
            </w:pPr>
            <w:r>
              <w:rPr>
                <w:rFonts w:hint="eastAsia"/>
                <w:spacing w:val="-15"/>
                <w:sz w:val="24"/>
                <w:szCs w:val="24"/>
                <w:lang w:val="en-US" w:eastAsia="zh-CN"/>
              </w:rPr>
              <w:t>联系人（职务）</w:t>
            </w:r>
          </w:p>
        </w:tc>
        <w:tc>
          <w:tcPr>
            <w:tcW w:w="2451" w:type="dxa"/>
            <w:gridSpan w:val="2"/>
            <w:vAlign w:val="center"/>
          </w:tcPr>
          <w:p w14:paraId="67E144E3">
            <w:pPr>
              <w:jc w:val="center"/>
              <w:rPr>
                <w:rFonts w:hint="default" w:ascii="Arial" w:eastAsia="宋体"/>
                <w:sz w:val="21"/>
                <w:lang w:val="en-US" w:eastAsia="zh-CN"/>
              </w:rPr>
            </w:pPr>
            <w:r>
              <w:rPr>
                <w:rFonts w:hint="eastAsia" w:eastAsia="宋体"/>
                <w:sz w:val="21"/>
                <w:lang w:val="en-US" w:eastAsia="zh-CN"/>
              </w:rPr>
              <w:t>人事组长</w:t>
            </w:r>
          </w:p>
        </w:tc>
        <w:tc>
          <w:tcPr>
            <w:tcW w:w="1957" w:type="dxa"/>
            <w:gridSpan w:val="3"/>
            <w:vAlign w:val="top"/>
          </w:tcPr>
          <w:p w14:paraId="5AF964F2">
            <w:pPr>
              <w:pStyle w:val="4"/>
              <w:spacing w:before="172" w:line="221" w:lineRule="auto"/>
              <w:ind w:left="534"/>
              <w:rPr>
                <w:sz w:val="24"/>
                <w:szCs w:val="24"/>
              </w:rPr>
            </w:pPr>
            <w:r>
              <w:rPr>
                <w:spacing w:val="-19"/>
                <w:sz w:val="24"/>
                <w:szCs w:val="24"/>
              </w:rPr>
              <w:t>电</w:t>
            </w:r>
            <w:r>
              <w:rPr>
                <w:spacing w:val="2"/>
                <w:sz w:val="24"/>
                <w:szCs w:val="24"/>
              </w:rPr>
              <w:t xml:space="preserve">    </w:t>
            </w:r>
            <w:r>
              <w:rPr>
                <w:spacing w:val="-19"/>
                <w:sz w:val="24"/>
                <w:szCs w:val="24"/>
              </w:rPr>
              <w:t>话</w:t>
            </w:r>
          </w:p>
        </w:tc>
        <w:tc>
          <w:tcPr>
            <w:tcW w:w="2101" w:type="dxa"/>
            <w:gridSpan w:val="2"/>
            <w:vAlign w:val="center"/>
          </w:tcPr>
          <w:p w14:paraId="2F429C85">
            <w:pPr>
              <w:jc w:val="center"/>
              <w:rPr>
                <w:rFonts w:hint="default" w:ascii="Arial" w:eastAsia="宋体"/>
                <w:sz w:val="21"/>
                <w:lang w:val="en-US" w:eastAsia="zh-CN"/>
              </w:rPr>
            </w:pPr>
            <w:r>
              <w:rPr>
                <w:rFonts w:hint="eastAsia" w:eastAsia="宋体"/>
                <w:sz w:val="21"/>
                <w:lang w:val="en-US" w:eastAsia="zh-CN"/>
              </w:rPr>
              <w:t>19962590669</w:t>
            </w:r>
          </w:p>
        </w:tc>
      </w:tr>
      <w:tr w14:paraId="71058A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8" w:hRule="atLeast"/>
          <w:jc w:val="center"/>
        </w:trPr>
        <w:tc>
          <w:tcPr>
            <w:tcW w:w="8403" w:type="dxa"/>
            <w:gridSpan w:val="9"/>
            <w:vAlign w:val="top"/>
          </w:tcPr>
          <w:p w14:paraId="568DAF04">
            <w:pPr>
              <w:pStyle w:val="4"/>
              <w:spacing w:before="116" w:line="219" w:lineRule="auto"/>
              <w:ind w:left="117"/>
              <w:jc w:val="both"/>
              <w:rPr>
                <w:sz w:val="24"/>
                <w:szCs w:val="24"/>
              </w:rPr>
            </w:pPr>
            <w:r>
              <w:rPr>
                <w:b/>
                <w:bCs/>
                <w:spacing w:val="-4"/>
                <w:sz w:val="24"/>
                <w:szCs w:val="24"/>
              </w:rPr>
              <w:t>单位情况介绍</w:t>
            </w:r>
          </w:p>
          <w:p w14:paraId="6E30962F">
            <w:pPr>
              <w:pStyle w:val="4"/>
              <w:spacing w:before="171" w:line="221" w:lineRule="auto"/>
              <w:ind w:left="507" w:firstLine="480" w:firstLineChars="200"/>
              <w:jc w:val="both"/>
              <w:rPr>
                <w:rFonts w:hint="eastAsia"/>
                <w:sz w:val="24"/>
                <w:szCs w:val="24"/>
                <w:lang w:val="en-US" w:eastAsia="zh-CN"/>
              </w:rPr>
            </w:pPr>
            <w:r>
              <w:rPr>
                <w:rFonts w:hint="eastAsia"/>
                <w:sz w:val="24"/>
                <w:szCs w:val="24"/>
                <w:lang w:val="en-US" w:eastAsia="zh-CN"/>
              </w:rPr>
              <w:t xml:space="preserve">江苏神州半导体科技股份有限公司是一家以中国为基地、面向全球的半导体高端设备公司,神州为集成电路和泛半导体行业以及医疗行业提供极具竞争力的高端设备和高质量的服务,产品及服务应用于半导体刻蚀设备和化学薄膜设备,离子注入设备,物理气相沉积设备,医疗磁控系统等高科技工业领域。 </w:t>
            </w:r>
          </w:p>
          <w:p w14:paraId="4DA6B473">
            <w:pPr>
              <w:pStyle w:val="4"/>
              <w:spacing w:before="171" w:line="221" w:lineRule="auto"/>
              <w:ind w:left="507" w:firstLine="480" w:firstLineChars="200"/>
              <w:jc w:val="both"/>
            </w:pPr>
            <w:r>
              <w:rPr>
                <w:rFonts w:hint="eastAsia"/>
                <w:sz w:val="24"/>
                <w:szCs w:val="24"/>
                <w:lang w:val="en-US" w:eastAsia="zh-CN"/>
              </w:rPr>
              <w:t>在神州创新激情、齐心奋斗和合作共赢的精神指引下,神州科技已经在新品研发,技术创新、产品优化和市场准入方面取得了重大突破,赢得了众多客户和供应厂商的信任与支持,成为国际射频</w:t>
            </w:r>
            <w:bookmarkStart w:id="0" w:name="_GoBack"/>
            <w:bookmarkEnd w:id="0"/>
            <w:r>
              <w:rPr>
                <w:rFonts w:hint="eastAsia"/>
                <w:sz w:val="24"/>
                <w:szCs w:val="24"/>
                <w:lang w:val="en-US" w:eastAsia="zh-CN"/>
              </w:rPr>
              <w:t>及磁控设备产业的重要力量。</w:t>
            </w:r>
          </w:p>
        </w:tc>
      </w:tr>
      <w:tr w14:paraId="33EC4B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jc w:val="center"/>
        </w:trPr>
        <w:tc>
          <w:tcPr>
            <w:tcW w:w="8403" w:type="dxa"/>
            <w:gridSpan w:val="9"/>
            <w:vAlign w:val="top"/>
          </w:tcPr>
          <w:p w14:paraId="1F9E22F9">
            <w:pPr>
              <w:pStyle w:val="4"/>
              <w:spacing w:before="152" w:line="219" w:lineRule="auto"/>
              <w:ind w:left="3488"/>
              <w:rPr>
                <w:sz w:val="24"/>
                <w:szCs w:val="24"/>
              </w:rPr>
            </w:pPr>
            <w:r>
              <w:rPr>
                <w:spacing w:val="-2"/>
                <w:sz w:val="24"/>
                <w:szCs w:val="24"/>
              </w:rPr>
              <w:t>本次招聘信息</w:t>
            </w:r>
          </w:p>
        </w:tc>
      </w:tr>
      <w:tr w14:paraId="7A0DE6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jc w:val="center"/>
        </w:trPr>
        <w:tc>
          <w:tcPr>
            <w:tcW w:w="1813" w:type="dxa"/>
            <w:vAlign w:val="top"/>
          </w:tcPr>
          <w:p w14:paraId="4ADC81E1">
            <w:pPr>
              <w:pStyle w:val="4"/>
              <w:spacing w:before="173" w:line="220" w:lineRule="auto"/>
              <w:ind w:left="698"/>
              <w:rPr>
                <w:sz w:val="24"/>
                <w:szCs w:val="24"/>
              </w:rPr>
            </w:pPr>
            <w:r>
              <w:rPr>
                <w:spacing w:val="-18"/>
                <w:sz w:val="24"/>
                <w:szCs w:val="24"/>
              </w:rPr>
              <w:t>岗位</w:t>
            </w:r>
          </w:p>
        </w:tc>
        <w:tc>
          <w:tcPr>
            <w:tcW w:w="799" w:type="dxa"/>
            <w:gridSpan w:val="2"/>
            <w:vAlign w:val="top"/>
          </w:tcPr>
          <w:p w14:paraId="6F4AAC4D">
            <w:pPr>
              <w:pStyle w:val="4"/>
              <w:spacing w:before="174" w:line="219" w:lineRule="auto"/>
              <w:ind w:left="263"/>
              <w:rPr>
                <w:sz w:val="24"/>
                <w:szCs w:val="24"/>
              </w:rPr>
            </w:pPr>
            <w:r>
              <w:rPr>
                <w:spacing w:val="-6"/>
                <w:sz w:val="24"/>
                <w:szCs w:val="24"/>
              </w:rPr>
              <w:t>数量</w:t>
            </w:r>
          </w:p>
        </w:tc>
        <w:tc>
          <w:tcPr>
            <w:tcW w:w="1860" w:type="dxa"/>
            <w:gridSpan w:val="2"/>
            <w:vAlign w:val="top"/>
          </w:tcPr>
          <w:p w14:paraId="087BD283">
            <w:pPr>
              <w:pStyle w:val="4"/>
              <w:spacing w:before="173" w:line="220" w:lineRule="auto"/>
              <w:ind w:left="517"/>
              <w:rPr>
                <w:sz w:val="24"/>
                <w:szCs w:val="24"/>
              </w:rPr>
            </w:pPr>
            <w:r>
              <w:rPr>
                <w:spacing w:val="-3"/>
                <w:sz w:val="24"/>
                <w:szCs w:val="24"/>
              </w:rPr>
              <w:t>所需专业</w:t>
            </w:r>
          </w:p>
        </w:tc>
        <w:tc>
          <w:tcPr>
            <w:tcW w:w="1755" w:type="dxa"/>
            <w:vAlign w:val="top"/>
          </w:tcPr>
          <w:p w14:paraId="38E54FA4">
            <w:pPr>
              <w:pStyle w:val="4"/>
              <w:spacing w:before="174" w:line="219" w:lineRule="auto"/>
              <w:jc w:val="center"/>
              <w:rPr>
                <w:rFonts w:hint="default" w:eastAsia="宋体"/>
                <w:sz w:val="24"/>
                <w:szCs w:val="24"/>
                <w:lang w:val="en-US" w:eastAsia="zh-CN"/>
              </w:rPr>
            </w:pPr>
            <w:r>
              <w:rPr>
                <w:rFonts w:hint="eastAsia"/>
                <w:sz w:val="24"/>
                <w:szCs w:val="24"/>
                <w:lang w:val="en-US" w:eastAsia="zh-CN"/>
              </w:rPr>
              <w:t>工作地点</w:t>
            </w:r>
          </w:p>
        </w:tc>
        <w:tc>
          <w:tcPr>
            <w:tcW w:w="1125" w:type="dxa"/>
            <w:gridSpan w:val="2"/>
            <w:vAlign w:val="top"/>
          </w:tcPr>
          <w:p w14:paraId="27799D5D">
            <w:pPr>
              <w:pStyle w:val="4"/>
              <w:spacing w:before="174" w:line="219" w:lineRule="auto"/>
              <w:ind w:left="220"/>
              <w:rPr>
                <w:rFonts w:hint="eastAsia" w:eastAsia="宋体"/>
                <w:sz w:val="24"/>
                <w:szCs w:val="24"/>
                <w:lang w:val="en-US" w:eastAsia="zh-CN"/>
              </w:rPr>
            </w:pPr>
            <w:r>
              <w:rPr>
                <w:rFonts w:hint="eastAsia"/>
                <w:sz w:val="24"/>
                <w:szCs w:val="24"/>
                <w:lang w:val="en-US" w:eastAsia="zh-CN"/>
              </w:rPr>
              <w:t>预计年薪</w:t>
            </w:r>
          </w:p>
        </w:tc>
        <w:tc>
          <w:tcPr>
            <w:tcW w:w="1051" w:type="dxa"/>
            <w:vAlign w:val="top"/>
          </w:tcPr>
          <w:p w14:paraId="603BC7CF">
            <w:pPr>
              <w:pStyle w:val="4"/>
              <w:spacing w:before="173" w:line="221" w:lineRule="auto"/>
              <w:ind w:left="295"/>
              <w:rPr>
                <w:sz w:val="24"/>
                <w:szCs w:val="24"/>
              </w:rPr>
            </w:pPr>
            <w:r>
              <w:rPr>
                <w:spacing w:val="-7"/>
                <w:sz w:val="24"/>
                <w:szCs w:val="24"/>
              </w:rPr>
              <w:t>备注</w:t>
            </w:r>
          </w:p>
        </w:tc>
      </w:tr>
      <w:tr w14:paraId="5E3363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7" w:hRule="atLeast"/>
          <w:jc w:val="center"/>
        </w:trPr>
        <w:tc>
          <w:tcPr>
            <w:tcW w:w="1813" w:type="dxa"/>
            <w:vAlign w:val="top"/>
          </w:tcPr>
          <w:p w14:paraId="04811D49">
            <w:pPr>
              <w:pStyle w:val="4"/>
              <w:spacing w:before="189" w:line="219" w:lineRule="auto"/>
              <w:ind w:left="432"/>
              <w:rPr>
                <w:rFonts w:hint="default" w:eastAsia="宋体"/>
                <w:spacing w:val="-3"/>
                <w:sz w:val="24"/>
                <w:szCs w:val="24"/>
                <w:lang w:val="en-US" w:eastAsia="zh-CN"/>
              </w:rPr>
            </w:pPr>
            <w:r>
              <w:rPr>
                <w:rFonts w:hint="eastAsia"/>
                <w:spacing w:val="-3"/>
                <w:sz w:val="24"/>
                <w:szCs w:val="24"/>
                <w:lang w:val="en-US" w:eastAsia="zh-CN"/>
              </w:rPr>
              <w:t>电子工程师</w:t>
            </w:r>
          </w:p>
        </w:tc>
        <w:tc>
          <w:tcPr>
            <w:tcW w:w="799" w:type="dxa"/>
            <w:gridSpan w:val="2"/>
            <w:vAlign w:val="top"/>
          </w:tcPr>
          <w:p w14:paraId="5D3A6ECF">
            <w:pPr>
              <w:pStyle w:val="4"/>
              <w:spacing w:before="226" w:line="183" w:lineRule="auto"/>
              <w:ind w:left="384"/>
              <w:rPr>
                <w:rFonts w:hint="default" w:eastAsia="宋体"/>
                <w:spacing w:val="-7"/>
                <w:sz w:val="24"/>
                <w:szCs w:val="24"/>
                <w:lang w:val="en-US" w:eastAsia="zh-CN"/>
              </w:rPr>
            </w:pPr>
            <w:r>
              <w:rPr>
                <w:rFonts w:hint="eastAsia"/>
                <w:spacing w:val="-7"/>
                <w:sz w:val="24"/>
                <w:szCs w:val="24"/>
                <w:lang w:val="en-US" w:eastAsia="zh-CN"/>
              </w:rPr>
              <w:t>20</w:t>
            </w:r>
          </w:p>
        </w:tc>
        <w:tc>
          <w:tcPr>
            <w:tcW w:w="1860" w:type="dxa"/>
            <w:gridSpan w:val="2"/>
            <w:vAlign w:val="center"/>
          </w:tcPr>
          <w:p w14:paraId="1B42BB23">
            <w:pPr>
              <w:pStyle w:val="4"/>
              <w:spacing w:before="189" w:line="219" w:lineRule="auto"/>
              <w:ind w:left="600"/>
              <w:jc w:val="center"/>
              <w:rPr>
                <w:spacing w:val="-4"/>
                <w:sz w:val="24"/>
                <w:szCs w:val="24"/>
              </w:rPr>
            </w:pPr>
            <w:r>
              <w:rPr>
                <w:rFonts w:hint="eastAsia"/>
                <w:spacing w:val="-4"/>
                <w:sz w:val="24"/>
                <w:szCs w:val="24"/>
              </w:rPr>
              <w:t>电子、通信等相关专业</w:t>
            </w:r>
          </w:p>
        </w:tc>
        <w:tc>
          <w:tcPr>
            <w:tcW w:w="1755" w:type="dxa"/>
            <w:vMerge w:val="restart"/>
            <w:vAlign w:val="center"/>
          </w:tcPr>
          <w:p w14:paraId="64E8353C">
            <w:pPr>
              <w:pStyle w:val="4"/>
              <w:spacing w:before="226" w:line="183" w:lineRule="auto"/>
              <w:ind w:left="357"/>
              <w:jc w:val="center"/>
              <w:rPr>
                <w:spacing w:val="-3"/>
                <w:sz w:val="24"/>
                <w:szCs w:val="24"/>
              </w:rPr>
            </w:pPr>
            <w:r>
              <w:rPr>
                <w:rFonts w:hint="eastAsia"/>
                <w:spacing w:val="-3"/>
                <w:sz w:val="24"/>
                <w:szCs w:val="24"/>
              </w:rPr>
              <w:t>江苏省扬州市邗江区蜀岗西路19号1</w:t>
            </w:r>
          </w:p>
        </w:tc>
        <w:tc>
          <w:tcPr>
            <w:tcW w:w="1125" w:type="dxa"/>
            <w:gridSpan w:val="2"/>
            <w:vAlign w:val="top"/>
          </w:tcPr>
          <w:p w14:paraId="4C80173E">
            <w:pPr>
              <w:pStyle w:val="4"/>
              <w:spacing w:before="189" w:line="219" w:lineRule="auto"/>
              <w:ind w:left="192"/>
              <w:rPr>
                <w:spacing w:val="-5"/>
                <w:sz w:val="24"/>
                <w:szCs w:val="24"/>
              </w:rPr>
            </w:pPr>
            <w:r>
              <w:rPr>
                <w:rFonts w:hint="eastAsia"/>
                <w:spacing w:val="-5"/>
                <w:sz w:val="24"/>
                <w:szCs w:val="24"/>
              </w:rPr>
              <w:t>6W-7.5W</w:t>
            </w:r>
          </w:p>
        </w:tc>
        <w:tc>
          <w:tcPr>
            <w:tcW w:w="1051" w:type="dxa"/>
            <w:vAlign w:val="top"/>
          </w:tcPr>
          <w:p w14:paraId="4B99F1C0">
            <w:pPr>
              <w:rPr>
                <w:rFonts w:ascii="Arial"/>
                <w:sz w:val="21"/>
              </w:rPr>
            </w:pPr>
          </w:p>
        </w:tc>
      </w:tr>
      <w:tr w14:paraId="58FD1E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5" w:hRule="atLeast"/>
          <w:jc w:val="center"/>
        </w:trPr>
        <w:tc>
          <w:tcPr>
            <w:tcW w:w="1813" w:type="dxa"/>
            <w:vAlign w:val="top"/>
          </w:tcPr>
          <w:p w14:paraId="6E1F3712">
            <w:pPr>
              <w:pStyle w:val="4"/>
              <w:spacing w:before="189" w:line="219" w:lineRule="auto"/>
              <w:ind w:left="432"/>
              <w:rPr>
                <w:spacing w:val="-3"/>
                <w:sz w:val="24"/>
                <w:szCs w:val="24"/>
              </w:rPr>
            </w:pPr>
            <w:r>
              <w:rPr>
                <w:rFonts w:hint="eastAsia"/>
                <w:spacing w:val="-3"/>
                <w:sz w:val="24"/>
                <w:szCs w:val="24"/>
              </w:rPr>
              <w:t>测试工程师</w:t>
            </w:r>
          </w:p>
        </w:tc>
        <w:tc>
          <w:tcPr>
            <w:tcW w:w="799" w:type="dxa"/>
            <w:gridSpan w:val="2"/>
            <w:vAlign w:val="top"/>
          </w:tcPr>
          <w:p w14:paraId="0890469F">
            <w:pPr>
              <w:pStyle w:val="4"/>
              <w:spacing w:before="226" w:line="183" w:lineRule="auto"/>
              <w:ind w:left="384"/>
              <w:rPr>
                <w:rFonts w:hint="default" w:eastAsia="宋体"/>
                <w:spacing w:val="-7"/>
                <w:sz w:val="24"/>
                <w:szCs w:val="24"/>
                <w:lang w:val="en-US" w:eastAsia="zh-CN"/>
              </w:rPr>
            </w:pPr>
            <w:r>
              <w:rPr>
                <w:rFonts w:hint="eastAsia"/>
                <w:spacing w:val="-7"/>
                <w:sz w:val="24"/>
                <w:szCs w:val="24"/>
                <w:lang w:val="en-US" w:eastAsia="zh-CN"/>
              </w:rPr>
              <w:t>20</w:t>
            </w:r>
          </w:p>
        </w:tc>
        <w:tc>
          <w:tcPr>
            <w:tcW w:w="1860" w:type="dxa"/>
            <w:gridSpan w:val="2"/>
            <w:vAlign w:val="top"/>
          </w:tcPr>
          <w:p w14:paraId="1B94739F">
            <w:pPr>
              <w:pStyle w:val="4"/>
              <w:spacing w:before="189" w:line="219" w:lineRule="auto"/>
              <w:ind w:left="600"/>
              <w:rPr>
                <w:spacing w:val="-4"/>
                <w:sz w:val="24"/>
                <w:szCs w:val="24"/>
              </w:rPr>
            </w:pPr>
            <w:r>
              <w:rPr>
                <w:rFonts w:hint="eastAsia"/>
                <w:spacing w:val="-4"/>
                <w:sz w:val="24"/>
                <w:szCs w:val="24"/>
              </w:rPr>
              <w:t>电子、通信等相关专业</w:t>
            </w:r>
          </w:p>
        </w:tc>
        <w:tc>
          <w:tcPr>
            <w:tcW w:w="1755" w:type="dxa"/>
            <w:vMerge w:val="continue"/>
            <w:vAlign w:val="top"/>
          </w:tcPr>
          <w:p w14:paraId="77CA1C13">
            <w:pPr>
              <w:pStyle w:val="4"/>
              <w:spacing w:before="226" w:line="183" w:lineRule="auto"/>
              <w:ind w:left="357"/>
              <w:rPr>
                <w:spacing w:val="-3"/>
                <w:sz w:val="24"/>
                <w:szCs w:val="24"/>
              </w:rPr>
            </w:pPr>
          </w:p>
        </w:tc>
        <w:tc>
          <w:tcPr>
            <w:tcW w:w="1125" w:type="dxa"/>
            <w:gridSpan w:val="2"/>
            <w:vAlign w:val="top"/>
          </w:tcPr>
          <w:p w14:paraId="01B87063">
            <w:pPr>
              <w:pStyle w:val="4"/>
              <w:spacing w:before="189" w:line="219" w:lineRule="auto"/>
              <w:ind w:left="192"/>
              <w:rPr>
                <w:spacing w:val="-5"/>
                <w:sz w:val="24"/>
                <w:szCs w:val="24"/>
              </w:rPr>
            </w:pPr>
            <w:r>
              <w:rPr>
                <w:rFonts w:hint="eastAsia"/>
                <w:spacing w:val="-5"/>
                <w:sz w:val="24"/>
                <w:szCs w:val="24"/>
              </w:rPr>
              <w:t>6W-7.5W</w:t>
            </w:r>
          </w:p>
        </w:tc>
        <w:tc>
          <w:tcPr>
            <w:tcW w:w="1051" w:type="dxa"/>
            <w:vAlign w:val="top"/>
          </w:tcPr>
          <w:p w14:paraId="3CBA8C83">
            <w:pPr>
              <w:rPr>
                <w:rFonts w:ascii="Arial"/>
                <w:sz w:val="21"/>
              </w:rPr>
            </w:pPr>
          </w:p>
        </w:tc>
      </w:tr>
      <w:tr w14:paraId="5C1CB5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5" w:hRule="atLeast"/>
          <w:jc w:val="center"/>
        </w:trPr>
        <w:tc>
          <w:tcPr>
            <w:tcW w:w="1813" w:type="dxa"/>
            <w:vAlign w:val="top"/>
          </w:tcPr>
          <w:p w14:paraId="49A9F83B">
            <w:pPr>
              <w:pStyle w:val="4"/>
              <w:spacing w:before="189" w:line="219" w:lineRule="auto"/>
              <w:ind w:left="432"/>
              <w:rPr>
                <w:rFonts w:hint="eastAsia"/>
                <w:spacing w:val="-3"/>
                <w:sz w:val="24"/>
                <w:szCs w:val="24"/>
              </w:rPr>
            </w:pPr>
            <w:r>
              <w:rPr>
                <w:rFonts w:hint="eastAsia"/>
                <w:spacing w:val="-3"/>
                <w:sz w:val="24"/>
                <w:szCs w:val="24"/>
              </w:rPr>
              <w:t>质量相关岗位</w:t>
            </w:r>
          </w:p>
        </w:tc>
        <w:tc>
          <w:tcPr>
            <w:tcW w:w="799" w:type="dxa"/>
            <w:gridSpan w:val="2"/>
            <w:vAlign w:val="top"/>
          </w:tcPr>
          <w:p w14:paraId="709D88F5">
            <w:pPr>
              <w:pStyle w:val="4"/>
              <w:spacing w:before="226" w:line="183" w:lineRule="auto"/>
              <w:ind w:left="384"/>
              <w:rPr>
                <w:rFonts w:hint="default"/>
                <w:spacing w:val="-7"/>
                <w:sz w:val="24"/>
                <w:szCs w:val="24"/>
                <w:lang w:val="en-US" w:eastAsia="zh-CN"/>
              </w:rPr>
            </w:pPr>
            <w:r>
              <w:rPr>
                <w:rFonts w:hint="eastAsia"/>
                <w:spacing w:val="-7"/>
                <w:sz w:val="24"/>
                <w:szCs w:val="24"/>
                <w:lang w:val="en-US" w:eastAsia="zh-CN"/>
              </w:rPr>
              <w:t>20</w:t>
            </w:r>
          </w:p>
        </w:tc>
        <w:tc>
          <w:tcPr>
            <w:tcW w:w="1860" w:type="dxa"/>
            <w:gridSpan w:val="2"/>
            <w:vAlign w:val="top"/>
          </w:tcPr>
          <w:p w14:paraId="5E6FAD1E">
            <w:pPr>
              <w:pStyle w:val="4"/>
              <w:spacing w:before="189" w:line="219" w:lineRule="auto"/>
              <w:ind w:left="600"/>
              <w:rPr>
                <w:rFonts w:hint="eastAsia"/>
                <w:spacing w:val="-4"/>
                <w:sz w:val="24"/>
                <w:szCs w:val="24"/>
              </w:rPr>
            </w:pPr>
            <w:r>
              <w:rPr>
                <w:rFonts w:hint="eastAsia"/>
                <w:spacing w:val="-4"/>
                <w:sz w:val="24"/>
                <w:szCs w:val="24"/>
              </w:rPr>
              <w:t>电子、通信等相关专业</w:t>
            </w:r>
          </w:p>
        </w:tc>
        <w:tc>
          <w:tcPr>
            <w:tcW w:w="1755" w:type="dxa"/>
            <w:vMerge w:val="continue"/>
            <w:vAlign w:val="top"/>
          </w:tcPr>
          <w:p w14:paraId="1EA43F0F">
            <w:pPr>
              <w:pStyle w:val="4"/>
              <w:spacing w:before="226" w:line="183" w:lineRule="auto"/>
              <w:ind w:left="357"/>
              <w:rPr>
                <w:rFonts w:hint="eastAsia"/>
                <w:spacing w:val="-3"/>
                <w:sz w:val="24"/>
                <w:szCs w:val="24"/>
              </w:rPr>
            </w:pPr>
          </w:p>
        </w:tc>
        <w:tc>
          <w:tcPr>
            <w:tcW w:w="1125" w:type="dxa"/>
            <w:gridSpan w:val="2"/>
            <w:vAlign w:val="top"/>
          </w:tcPr>
          <w:p w14:paraId="74E3CE37">
            <w:pPr>
              <w:pStyle w:val="4"/>
              <w:spacing w:before="189" w:line="219" w:lineRule="auto"/>
              <w:ind w:left="192"/>
              <w:rPr>
                <w:rFonts w:hint="eastAsia"/>
                <w:spacing w:val="-5"/>
                <w:sz w:val="24"/>
                <w:szCs w:val="24"/>
              </w:rPr>
            </w:pPr>
            <w:r>
              <w:rPr>
                <w:rFonts w:hint="eastAsia"/>
                <w:spacing w:val="-5"/>
                <w:sz w:val="24"/>
                <w:szCs w:val="24"/>
              </w:rPr>
              <w:t>6-7W</w:t>
            </w:r>
          </w:p>
        </w:tc>
        <w:tc>
          <w:tcPr>
            <w:tcW w:w="1051" w:type="dxa"/>
            <w:vAlign w:val="top"/>
          </w:tcPr>
          <w:p w14:paraId="23CBE4FC">
            <w:pPr>
              <w:rPr>
                <w:rFonts w:ascii="Arial"/>
                <w:sz w:val="21"/>
              </w:rPr>
            </w:pPr>
          </w:p>
        </w:tc>
      </w:tr>
      <w:tr w14:paraId="564E05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0" w:hRule="atLeast"/>
          <w:jc w:val="center"/>
        </w:trPr>
        <w:tc>
          <w:tcPr>
            <w:tcW w:w="8403" w:type="dxa"/>
            <w:gridSpan w:val="9"/>
            <w:vAlign w:val="top"/>
          </w:tcPr>
          <w:p w14:paraId="191DDC41">
            <w:pPr>
              <w:spacing w:line="328" w:lineRule="auto"/>
              <w:rPr>
                <w:rFonts w:ascii="Arial"/>
                <w:sz w:val="21"/>
              </w:rPr>
            </w:pPr>
          </w:p>
          <w:p w14:paraId="3D596F71">
            <w:pPr>
              <w:pStyle w:val="4"/>
              <w:spacing w:before="78" w:line="220" w:lineRule="auto"/>
              <w:ind w:left="142"/>
              <w:rPr>
                <w:sz w:val="24"/>
                <w:szCs w:val="24"/>
              </w:rPr>
            </w:pPr>
            <w:r>
              <w:rPr>
                <w:b/>
                <w:bCs/>
                <w:spacing w:val="-10"/>
                <w:sz w:val="24"/>
                <w:szCs w:val="24"/>
              </w:rPr>
              <w:t>岗位职责：</w:t>
            </w:r>
          </w:p>
          <w:p w14:paraId="52264825">
            <w:pPr>
              <w:pStyle w:val="4"/>
              <w:spacing w:before="116" w:line="240" w:lineRule="auto"/>
              <w:ind w:left="114"/>
              <w:rPr>
                <w:rFonts w:hint="eastAsia"/>
                <w:b/>
                <w:bCs/>
                <w:sz w:val="21"/>
                <w:szCs w:val="21"/>
                <w:lang w:val="en-US" w:eastAsia="zh-CN"/>
              </w:rPr>
            </w:pPr>
            <w:r>
              <w:rPr>
                <w:rFonts w:hint="eastAsia"/>
                <w:b/>
                <w:bCs/>
                <w:sz w:val="21"/>
                <w:szCs w:val="21"/>
                <w:lang w:val="en-US" w:eastAsia="zh-CN"/>
              </w:rPr>
              <w:t>电子工程师：</w:t>
            </w:r>
          </w:p>
          <w:p w14:paraId="2776D242">
            <w:pPr>
              <w:pStyle w:val="4"/>
              <w:spacing w:before="116" w:line="240" w:lineRule="auto"/>
              <w:ind w:left="114"/>
              <w:rPr>
                <w:rFonts w:hint="default"/>
                <w:lang w:val="en-US" w:eastAsia="zh-CN"/>
              </w:rPr>
            </w:pPr>
            <w:r>
              <w:rPr>
                <w:rFonts w:hint="default"/>
                <w:lang w:val="en-US" w:eastAsia="zh-CN"/>
              </w:rPr>
              <w:t>1、按照作业指导书要求对电源设备进行拆解、保养维护、装配、维修、测试工作；</w:t>
            </w:r>
          </w:p>
          <w:p w14:paraId="7ADB04D3">
            <w:pPr>
              <w:pStyle w:val="4"/>
              <w:spacing w:before="116" w:line="240" w:lineRule="auto"/>
              <w:ind w:left="114"/>
              <w:rPr>
                <w:rFonts w:hint="default"/>
                <w:lang w:val="en-US" w:eastAsia="zh-CN"/>
              </w:rPr>
            </w:pPr>
            <w:r>
              <w:rPr>
                <w:rFonts w:hint="default"/>
                <w:lang w:val="en-US" w:eastAsia="zh-CN"/>
              </w:rPr>
              <w:t>2、按照生产工艺要求进行产品电子零件、电路板、接插件等电子元器件的焊接及整机组装；</w:t>
            </w:r>
          </w:p>
          <w:p w14:paraId="732BB3CE">
            <w:pPr>
              <w:pStyle w:val="4"/>
              <w:spacing w:before="116" w:line="240" w:lineRule="auto"/>
              <w:ind w:left="114"/>
              <w:rPr>
                <w:rFonts w:hint="default"/>
                <w:lang w:val="en-US" w:eastAsia="zh-CN"/>
              </w:rPr>
            </w:pPr>
            <w:r>
              <w:rPr>
                <w:rFonts w:hint="default"/>
                <w:lang w:val="en-US" w:eastAsia="zh-CN"/>
              </w:rPr>
              <w:t>3、完成领导交办的其他任务。</w:t>
            </w:r>
          </w:p>
          <w:p w14:paraId="058C3801">
            <w:pPr>
              <w:pStyle w:val="4"/>
              <w:spacing w:before="116" w:line="240" w:lineRule="auto"/>
              <w:ind w:left="114"/>
              <w:rPr>
                <w:rFonts w:hint="default"/>
                <w:lang w:val="en-US" w:eastAsia="zh-CN"/>
              </w:rPr>
            </w:pPr>
          </w:p>
          <w:p w14:paraId="56187601">
            <w:pPr>
              <w:pStyle w:val="4"/>
              <w:spacing w:before="116" w:line="360" w:lineRule="auto"/>
              <w:ind w:left="114"/>
              <w:rPr>
                <w:rFonts w:hint="eastAsia"/>
                <w:b/>
                <w:bCs/>
                <w:sz w:val="21"/>
                <w:szCs w:val="21"/>
                <w:lang w:val="en-US" w:eastAsia="zh-CN"/>
              </w:rPr>
            </w:pPr>
            <w:r>
              <w:rPr>
                <w:rFonts w:hint="eastAsia"/>
                <w:b/>
                <w:bCs/>
                <w:sz w:val="21"/>
                <w:szCs w:val="21"/>
                <w:lang w:val="en-US" w:eastAsia="zh-CN"/>
              </w:rPr>
              <w:t>测试工程师：</w:t>
            </w:r>
          </w:p>
          <w:p w14:paraId="295EC455">
            <w:pPr>
              <w:pStyle w:val="4"/>
              <w:numPr>
                <w:ilvl w:val="0"/>
                <w:numId w:val="1"/>
              </w:numPr>
              <w:spacing w:before="116" w:line="360" w:lineRule="auto"/>
              <w:ind w:left="114" w:leftChars="0"/>
              <w:rPr>
                <w:rFonts w:hint="default"/>
                <w:lang w:val="en-US" w:eastAsia="zh-CN"/>
              </w:rPr>
            </w:pPr>
            <w:r>
              <w:rPr>
                <w:rFonts w:hint="default"/>
                <w:lang w:val="en-US" w:eastAsia="zh-CN"/>
              </w:rPr>
              <w:t xml:space="preserve">严格按照作业指导书（SOP），负责对直流高压电源、射频电源及射频匹配器进行功能性测试、参数调试、校准及老化测试。 </w:t>
            </w:r>
            <w:r>
              <w:rPr>
                <w:rFonts w:hint="eastAsia"/>
                <w:lang w:val="en-US" w:eastAsia="zh-CN"/>
              </w:rPr>
              <w:t xml:space="preserve">                                                      </w:t>
            </w:r>
            <w:r>
              <w:rPr>
                <w:rFonts w:hint="default"/>
                <w:lang w:val="en-US" w:eastAsia="zh-CN"/>
              </w:rPr>
              <w:t xml:space="preserve">2、记录并核对各项测试数据，确保产品性能指标符合工艺标准，对测试不合格品进行标识并初步隔离。 </w:t>
            </w:r>
            <w:r>
              <w:rPr>
                <w:rFonts w:hint="eastAsia"/>
                <w:lang w:val="en-US" w:eastAsia="zh-CN"/>
              </w:rPr>
              <w:t xml:space="preserve">                                                                              </w:t>
            </w:r>
            <w:r>
              <w:rPr>
                <w:rFonts w:hint="default"/>
                <w:lang w:val="en-US" w:eastAsia="zh-CN"/>
              </w:rPr>
              <w:t>3、在调试过程中发现异常或一致性问题时，及时、准确地向产线技术员或工程师反馈。</w:t>
            </w:r>
            <w:r>
              <w:rPr>
                <w:rFonts w:hint="eastAsia"/>
                <w:lang w:val="en-US" w:eastAsia="zh-CN"/>
              </w:rPr>
              <w:t xml:space="preserve">    </w:t>
            </w:r>
            <w:r>
              <w:rPr>
                <w:rFonts w:hint="default"/>
                <w:lang w:val="en-US" w:eastAsia="zh-CN"/>
              </w:rPr>
              <w:t xml:space="preserve"> </w:t>
            </w:r>
            <w:r>
              <w:rPr>
                <w:rFonts w:hint="eastAsia"/>
                <w:lang w:val="en-US" w:eastAsia="zh-CN"/>
              </w:rPr>
              <w:t xml:space="preserve">     </w:t>
            </w:r>
            <w:r>
              <w:rPr>
                <w:rFonts w:hint="default"/>
                <w:lang w:val="en-US" w:eastAsia="zh-CN"/>
              </w:rPr>
              <w:t xml:space="preserve">4、具备基本的电路分析能力，能根据测试结果判断常见故障并配合工程师进行初步定位。 </w:t>
            </w:r>
            <w:r>
              <w:rPr>
                <w:rFonts w:hint="eastAsia"/>
                <w:lang w:val="en-US" w:eastAsia="zh-CN"/>
              </w:rPr>
              <w:t xml:space="preserve">        </w:t>
            </w:r>
            <w:r>
              <w:rPr>
                <w:rFonts w:hint="default"/>
                <w:lang w:val="en-US" w:eastAsia="zh-CN"/>
              </w:rPr>
              <w:t>5、能读懂电路原理图、装配图及测试工艺文件，熟练操作示波器、万用表、电子负载、功率计、频谱分析仪等常用测试仪器。</w:t>
            </w:r>
            <w:r>
              <w:rPr>
                <w:rFonts w:hint="eastAsia"/>
                <w:lang w:val="en-US" w:eastAsia="zh-CN"/>
              </w:rPr>
              <w:t xml:space="preserve">                                                             </w:t>
            </w:r>
            <w:r>
              <w:rPr>
                <w:rFonts w:hint="default"/>
                <w:lang w:val="en-US" w:eastAsia="zh-CN"/>
              </w:rPr>
              <w:t xml:space="preserve"> 6、负责日常测试工位的6S维护及所用仪器设备的点检、保养。</w:t>
            </w:r>
            <w:r>
              <w:rPr>
                <w:rFonts w:hint="eastAsia"/>
                <w:lang w:val="en-US" w:eastAsia="zh-CN"/>
              </w:rPr>
              <w:t xml:space="preserve">                                           </w:t>
            </w:r>
            <w:r>
              <w:rPr>
                <w:rFonts w:hint="default"/>
                <w:lang w:val="en-US" w:eastAsia="zh-CN"/>
              </w:rPr>
              <w:t xml:space="preserve"> 7、参与调试流程优化建议，协助完成生产调试任务，保障产出效率。</w:t>
            </w:r>
            <w:r>
              <w:rPr>
                <w:rFonts w:hint="eastAsia"/>
                <w:lang w:val="en-US" w:eastAsia="zh-CN"/>
              </w:rPr>
              <w:t xml:space="preserve">                               </w:t>
            </w:r>
            <w:r>
              <w:rPr>
                <w:rFonts w:hint="default"/>
                <w:lang w:val="en-US" w:eastAsia="zh-CN"/>
              </w:rPr>
              <w:t xml:space="preserve"> 8、完成上级交办的其他生产测试相关工作。</w:t>
            </w:r>
          </w:p>
          <w:p w14:paraId="00F4C63C">
            <w:pPr>
              <w:pStyle w:val="4"/>
              <w:numPr>
                <w:ilvl w:val="0"/>
                <w:numId w:val="0"/>
              </w:numPr>
              <w:spacing w:before="116" w:line="360" w:lineRule="auto"/>
              <w:rPr>
                <w:rFonts w:hint="eastAsia"/>
                <w:b/>
                <w:bCs/>
                <w:sz w:val="21"/>
                <w:szCs w:val="21"/>
                <w:lang w:val="en-US" w:eastAsia="zh-CN"/>
              </w:rPr>
            </w:pPr>
            <w:r>
              <w:rPr>
                <w:rFonts w:hint="eastAsia"/>
                <w:b/>
                <w:bCs/>
                <w:sz w:val="21"/>
                <w:szCs w:val="21"/>
                <w:lang w:val="en-US" w:eastAsia="zh-CN"/>
              </w:rPr>
              <w:t>质量相关岗位：</w:t>
            </w:r>
          </w:p>
          <w:p w14:paraId="339AD13B">
            <w:pPr>
              <w:pStyle w:val="4"/>
              <w:numPr>
                <w:ilvl w:val="0"/>
                <w:numId w:val="0"/>
              </w:numPr>
              <w:spacing w:before="116" w:line="360" w:lineRule="auto"/>
              <w:ind w:left="114" w:leftChars="0"/>
              <w:rPr>
                <w:rFonts w:hint="default"/>
                <w:lang w:val="en-US" w:eastAsia="zh-CN"/>
              </w:rPr>
            </w:pPr>
            <w:r>
              <w:rPr>
                <w:rFonts w:hint="default"/>
                <w:lang w:val="en-US" w:eastAsia="zh-CN"/>
              </w:rPr>
              <w:t xml:space="preserve">1.负责执行QC检验程序，对产品进行检验，并记录检验结果。 </w:t>
            </w:r>
            <w:r>
              <w:rPr>
                <w:rFonts w:hint="eastAsia"/>
                <w:lang w:val="en-US" w:eastAsia="zh-CN"/>
              </w:rPr>
              <w:t xml:space="preserve">                             </w:t>
            </w:r>
            <w:r>
              <w:rPr>
                <w:rFonts w:hint="default"/>
                <w:lang w:val="en-US" w:eastAsia="zh-CN"/>
              </w:rPr>
              <w:t>2. 负责执行QC检验程序，包括检验前的准备工作，检验过程中的记录和数据的收集，以及检验结果的正确性；</w:t>
            </w:r>
            <w:r>
              <w:rPr>
                <w:rFonts w:hint="eastAsia"/>
                <w:lang w:val="en-US" w:eastAsia="zh-CN"/>
              </w:rPr>
              <w:t xml:space="preserve">                                                                         </w:t>
            </w:r>
            <w:r>
              <w:rPr>
                <w:rFonts w:hint="default"/>
                <w:lang w:val="en-US" w:eastAsia="zh-CN"/>
              </w:rPr>
              <w:t xml:space="preserve"> 3.负责检查产品的质量状况，寻找并记录生产过程中存在的问题，并提出相应的改进建议；</w:t>
            </w:r>
            <w:r>
              <w:rPr>
                <w:rFonts w:hint="eastAsia"/>
                <w:lang w:val="en-US" w:eastAsia="zh-CN"/>
              </w:rPr>
              <w:t xml:space="preserve">      </w:t>
            </w:r>
            <w:r>
              <w:rPr>
                <w:rFonts w:hint="default"/>
                <w:lang w:val="en-US" w:eastAsia="zh-CN"/>
              </w:rPr>
              <w:t xml:space="preserve"> 4.负责维护检验仪器的准确性和可靠性，并对检验设备进行维护和保养；</w:t>
            </w:r>
            <w:r>
              <w:rPr>
                <w:rFonts w:hint="eastAsia"/>
                <w:lang w:val="en-US" w:eastAsia="zh-CN"/>
              </w:rPr>
              <w:t xml:space="preserve">                            </w:t>
            </w:r>
            <w:r>
              <w:rPr>
                <w:rFonts w:hint="default"/>
                <w:lang w:val="en-US" w:eastAsia="zh-CN"/>
              </w:rPr>
              <w:t xml:space="preserve"> 5.负责协助检验部门完成检验任务，与其他部门的沟通，以保证整个生产过程的质量控制；</w:t>
            </w:r>
            <w:r>
              <w:rPr>
                <w:rFonts w:hint="eastAsia"/>
                <w:lang w:val="en-US" w:eastAsia="zh-CN"/>
              </w:rPr>
              <w:t xml:space="preserve">     </w:t>
            </w:r>
            <w:r>
              <w:rPr>
                <w:rFonts w:hint="default"/>
                <w:lang w:val="en-US" w:eastAsia="zh-CN"/>
              </w:rPr>
              <w:t xml:space="preserve"> 6.负责对检验结果进行汇总和整理，形成检验报告，并提交给相应的领导。</w:t>
            </w:r>
          </w:p>
          <w:p w14:paraId="747F1B09">
            <w:pPr>
              <w:pStyle w:val="4"/>
              <w:spacing w:before="116" w:line="228" w:lineRule="auto"/>
              <w:ind w:left="114"/>
              <w:rPr>
                <w:rFonts w:hint="default"/>
                <w:lang w:val="en-US" w:eastAsia="zh-CN"/>
              </w:rPr>
            </w:pPr>
          </w:p>
        </w:tc>
      </w:tr>
    </w:tbl>
    <w:p w14:paraId="07381EF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Helvetica">
    <w:altName w:val="Arial"/>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7AD68"/>
    <w:multiLevelType w:val="singleLevel"/>
    <w:tmpl w:val="7A77AD6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mYzUxNjZiZWI1OGYxOTRlMDY4MmE2YzQ5NDI4Y2MifQ=="/>
  </w:docVars>
  <w:rsids>
    <w:rsidRoot w:val="00000000"/>
    <w:rsid w:val="0DCE6403"/>
    <w:rsid w:val="12E16626"/>
    <w:rsid w:val="200B3ACE"/>
    <w:rsid w:val="37C04A5B"/>
    <w:rsid w:val="399F2857"/>
    <w:rsid w:val="7A053A69"/>
    <w:rsid w:val="7B956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Table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1059</Words>
  <Characters>1101</Characters>
  <Lines>0</Lines>
  <Paragraphs>0</Paragraphs>
  <TotalTime>28</TotalTime>
  <ScaleCrop>false</ScaleCrop>
  <LinksUpToDate>false</LinksUpToDate>
  <CharactersWithSpaces>1544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2024-09-25T06:01:00Z</dcterms:created>
  <dc:creator>GUYAL</dc:creator>
  <cp:lastModifiedBy>何欣</cp:lastModifiedBy>
  <dcterms:modified xsi:type="dcterms:W3CDTF">2026-01-04T06:33:49Z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8C33D52377584EEAAA32715F0CD9E405_13</vt:lpwstr>
  </property>
  <property fmtid="{D5CDD505-2E9C-101B-9397-08002B2CF9AE}" pid="4" name="KSOTemplateDocerSaveRecord">
    <vt:lpwstr>eyJoZGlkIjoiZjI5NmI1ZjM3YjgxNjI2YzVjMDc4Nzc5M2I4ZDRhNzQiLCJ1c2VySWQiOiI3MDc3MzQzOTQifQ==</vt:lpwstr>
  </property>
</Properties>
</file>